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项目周刊丨比特币挖矿难度上调7.33% 全球以太坊ETF总资产规模57亿美元</w:t>
      </w:r>
    </w:p>
    <w:p>
      <w:r>
        <w:t>周刊是本站推出的一档每周区块链行业总结栏目，内容涵盖一周重点新闻、行情与合约数据、矿业信息、项目动态、技术进展等行业动态。本文是项目周刊，带您一览本周主流项目以及明星项目的进展。</w:t>
      </w:r>
    </w:p>
    <w:p>
      <w:pPr>
        <w:pStyle w:val="Heading2"/>
      </w:pPr>
      <w:r>
        <w:t>比特币</w:t>
      </w:r>
    </w:p>
    <w:p>
      <w:r>
        <w:t>比特币挖矿难度已于区块高度828,576上调7.33%至75.5 T</w:t>
      </w:r>
    </w:p>
    <w:p>
      <w:r>
        <w:t>据BTC.com数据显示，比特币挖矿难度在区块高度828,576（2024-02-02 23:42:06）处迎来挖矿难度调整，挖矿难度上调7.33%至75.5 T，续创历史新高，目前全网平均算力为550.07 EH/s。此外，本次7.33%的挖矿难度上调幅度也创下自2023年3月以来的最高记录。</w:t>
      </w:r>
    </w:p>
    <w:p>
      <w:r>
        <w:t>Valkyrie的BTC将由BitGo和Coinbase托管，成为首个实现托管多元化的现货比特币ETF</w:t>
      </w:r>
    </w:p>
    <w:p>
      <w:r>
        <w:t xml:space="preserve">一份公开的文件显示，Valkyrie已任命BitGo作为其现货比特币ETF的托管方，Coinbase Trust Company将继续担任托管方。 </w:t>
        <w:br/>
        <w:t>彭博分析师James Seyffart表示：“Valkyrie成为第一个实现代币托管多元化的现货比特币ETF，其BTC现在将由BitGo和Coinbase持有”。</w:t>
      </w:r>
    </w:p>
    <w:p>
      <w:r>
        <w:t>德国DZ Bank希望今年启动比特币零售交易试点阶段</w:t>
      </w:r>
    </w:p>
    <w:p>
      <w:r>
        <w:t>德国DZ Bank希望今年启动比特币零售交易的试点阶段。DZ Bank董事会负责资本市场运营的Souad Benkredda表示，今年DZ Bank将与首批合作银行进行加密货币零售交易的试点阶段，这意味着主要银行将测试与客户进行比特币交易。</w:t>
      </w:r>
    </w:p>
    <w:p>
      <w:r>
        <w:t>英国执法机构已没收涉嫌洗钱的17亿美元比特币</w:t>
      </w:r>
    </w:p>
    <w:p>
      <w:r>
        <w:t>英国执法机构已没收价值17亿美元的比特币，此前一名前餐厅员工Jian Wen试图使用该比特币在伦敦购买价值约3000万美元的豪宅，由于其无法解释加密资产的来源，购买并未成功。据悉Jian Wen于2018年成为英国公民，涉嫌被招募协助Zhimin Qian洗钱，被指控代表Zhimin Qian将比特币转换为现金、奢侈品和房地产。</w:t>
      </w:r>
    </w:p>
    <w:p>
      <w:r>
        <w:t>谷歌更新广告政策，允许投放比特币和加密信托产品广告</w:t>
      </w:r>
    </w:p>
    <w:p>
      <w:r>
        <w:t>谷歌更新了允许比特币和加密货币信托产品进行广告的政策，据悉，贝莱德、VanEck、富兰克林邓普顿等现货比特币ETF的广告已经在谷歌搜索页面中出现。</w:t>
      </w:r>
    </w:p>
    <w:p>
      <w:pPr>
        <w:pStyle w:val="Heading2"/>
      </w:pPr>
      <w:r>
        <w:t>以太坊</w:t>
      </w:r>
    </w:p>
    <w:p>
      <w:r>
        <w:t>全球以太坊ETF总资产规模57亿美元，81%为欧洲产品</w:t>
      </w:r>
    </w:p>
    <w:p>
      <w:r>
        <w:t xml:space="preserve">CoinGecko发布报告称，目前全球有27支活跃的以太坊ETF，总资产规模57亿美元，欧洲领先，占81%的市场份额。它们的总资产规模仍然小于灰度以太坊信托 (ETHE) 的总资产，后者的总资产为67.6亿美元。 </w:t>
        <w:br/>
        <w:t>前10名最大的以太坊ETF资产规模高达54.9亿美元，占总资产的96.4%。前两名分别为XBT Ethereum Tracker One (COINETH)和 XBT Ethereum Tracker Euro (COINETHE)，资产规模分别为33.4亿美元和5.1093 亿美元，COINETH和COINETHE都是在欧洲交易的以太坊期货ETF。</w:t>
      </w:r>
    </w:p>
    <w:p>
      <w:r>
        <w:t>香港金融公司VSFG计划在第二季度申请现货以太坊ETF</w:t>
      </w:r>
    </w:p>
    <w:p>
      <w:r>
        <w:t>香港金融公司VSFG表示，如果第一季度成功推出现货比特币ETF，其计划于第二季度在香港提交现货以太坊ETF申请。</w:t>
      </w:r>
    </w:p>
    <w:p>
      <w:r>
        <w:t>1月以太坊链上NFT销售额超3.5亿美元，较12月下降2%</w:t>
      </w:r>
    </w:p>
    <w:p>
      <w:r>
        <w:t>Cryptoslam最新数据显示，1月以太坊链上NFT销售额触及约3.56亿美元，较12月减少约700万美元，降幅约2%，此外1月以太坊链上NFT交易量达92.9万笔。</w:t>
      </w:r>
    </w:p>
    <w:p>
      <w:r>
        <w:t>以太坊Dencun升级已在Sepolia测试网上上线</w:t>
      </w:r>
    </w:p>
    <w:p>
      <w:r>
        <w:t xml:space="preserve">以太坊Dencun升级已在Sepolia测试网上线，Sepolia是通过Dencun模拟运行的三个测试网中的第二个。本月早些时候，Dencun在Goerli测试网上上线，但最初未能最终确定。 </w:t>
        <w:br/>
        <w:t>2月7日，Dencun将在其最终的以太坊测试网Holesky上线。之后，开发人员将在主区块链上签署激活Dencun的日期。测试网复制主区块链，并允许开发人员在低风险环境中对协议或其去中心化应用程序进行任何更改。</w:t>
      </w:r>
    </w:p>
    <w:p>
      <w:r>
        <w:t>渣打银行：SEC或于5月23日批准现货以太坊ETF，ETH潜在目标价4000美元</w:t>
      </w:r>
    </w:p>
    <w:p>
      <w:r>
        <w:t xml:space="preserve">渣打银行预计，SEC将于5月23日批准现货以太坊ETF。渣打银行外汇主管Geoffrey Kendrick表示：“我们预计待决申请将于5月23日获得批准，这是第一批正在考虑的ETF的最终截止日期，相当于现货比特币ETF的1月10日。” </w:t>
        <w:br/>
        <w:t>该银行还预测，如果ETH模仿BTC的批准前表现，其潜在目标将达到4,000美元。</w:t>
      </w:r>
    </w:p>
    <w:p>
      <w:pPr>
        <w:pStyle w:val="Heading2"/>
      </w:pPr>
      <w:r>
        <w:t>其他项目</w:t>
      </w:r>
    </w:p>
    <w:p>
      <w:r>
        <w:t>dYdX Chain通过最新升级添加流动性质押支持</w:t>
      </w:r>
    </w:p>
    <w:p>
      <w:r>
        <w:t xml:space="preserve">基于Cosmos的dYdX Chain今日升级至v3.0版本，此次升级引入了链间账户，支持流动性质押协议加入dYdX Chain，在网络上进行流动性质押。据悉，此举允许用户继续质押和保护dYdX Chain，同时将质押的DYDX转换为可以在DeFi应用程序中交易或使用的流动资产。 </w:t>
        <w:br/>
        <w:t>此外，Cosmos生态协议Stride计划今天开放dYdX的流动性质押，另外两家流动质押提供商Persistence和Quicksilver也计划在不久的将来提供该服务。</w:t>
      </w:r>
    </w:p>
    <w:p>
      <w:r>
        <w:t>Vitalik：使用区块链和加密技术来创建“单例”的APP最具挑战性</w:t>
      </w:r>
    </w:p>
    <w:p>
      <w:r>
        <w:t xml:space="preserve">以太坊联合创始人Vitalik Buterin发布最新博客《加密+人工智能应用的前景和挑战》。人工智能的分类方法有很多种，Vitalik将其分类如下： </w:t>
        <w:br/>
        <w:t xml:space="preserve">-人工智能作为游戏参与者[最高可行性]： 参与机制的人工智能，其激励机制的最终来源是有人类输入的协议。 </w:t>
        <w:br/>
        <w:t xml:space="preserve">-作为游戏界面的人工智能[潜力大，但有风险]： 人工智能帮助用户了解他们周围的加密世界，并确保他们的行为（即签名信息和交易）符合他们的意图，不会被欺骗或诈骗。 </w:t>
        <w:br/>
        <w:t xml:space="preserve">-人工智能作为游戏规则[慎之又慎]：区块链、DAO 和类似机制直接调用人工智能。例如 "人工智能法官"。 </w:t>
        <w:br/>
        <w:t xml:space="preserve">-人工智能作为游戏目标[较长期，但耐人寻味]：设计区块链、DAO 和类似机制的目标是构建和维护一个可用于其他目的的人工智能，利用加密比特更好地激励训练或防止人工智能泄露隐私数据或被滥用。 </w:t>
        <w:br/>
        <w:t>最具挑战性的应用是试图使用区块链和加密技术来创建"单例"的应用：即一个去中心化的可信人工智能，某些应用将依赖它来实现某些目的。这些应用在功能性和提高人工智能安全性方面都大有可为，可以避免与解决该问题的主流方法相关的中心化风险。但是，底层假设也有许多可能失败的方式；因此，值得谨慎行事，尤其是在高价值和高风险的环境中部署这些应用时。</w:t>
      </w:r>
    </w:p>
    <w:p>
      <w:r>
        <w:t>Arkham集成Linea并推出MetaMask Snap</w:t>
      </w:r>
    </w:p>
    <w:p>
      <w:r>
        <w:t>Arkham宣布正在与Consensys合作支持其Scale计划，将Linea集成到Arkham平台中，并通过MetaMask Snap将标签添加到MetaMask。通过增加对Linea的支持，Arkham将提供超过1.73亿美元的总锁定价值 (TVL) 数据以及超过260万个链上唯一地址，此外，Arkham将推出MetaMask Snap，允许用户直接在MetaMask中查看Arkham实体标签。</w:t>
      </w:r>
    </w:p>
    <w:p>
      <w:r>
        <w:t>Aave社区发起添加PAXG抵押品和借款支持的提案</w:t>
      </w:r>
    </w:p>
    <w:p>
      <w:r>
        <w:t>根据治理论坛显示，Aave社区发起添加PAX Gold(PAXG)抵押品和借款支持的提案。PAX Gold是代币化黄金，每个PAXG代币由黄金支持。</w:t>
      </w:r>
    </w:p>
    <w:p>
      <w:r>
        <w:t>LayerZero V2 版本已上线</w:t>
      </w:r>
    </w:p>
    <w:p>
      <w:r>
        <w:t>跨链互操作性协议 LayerZero 宣布 V2 已上线，新功能包括：通用消息传递、模块化安全、无需许可的执行、统一语义、V1 兼容性。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