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意大利据悉将加强对加密货币风险的监管</w:t>
      </w:r>
    </w:p>
    <w:p>
      <w:r>
        <w:t>来源：财联社</w:t>
      </w:r>
    </w:p>
    <w:p>
      <w:r>
        <w:t>据媒体报道，意大利计划采取措施加强对加密资产相关风险的监管，包括对操纵市场者处以高额罚款。</w:t>
      </w:r>
    </w:p>
    <w:p>
      <w:r>
        <w:t>据媒体看到的草案显示，意大利政府将对内幕交易、非法披露内幕信息或操纵市场的行为处以5000-500万欧元（5400-540万美元）的罚款。这项法令将于当地时间周四晚些时候由意大利内阁批准。</w:t>
      </w:r>
    </w:p>
    <w:p>
      <w:r>
        <w:t>该计划是在去年欧洲监管机构制定的框架内实施的，将由意大利央行和市场监管机构Consob作为监管加密货币活动的机构，以维护金融稳定，并确保市场有序运行。</w:t>
      </w:r>
    </w:p>
    <w:p>
      <w:r>
        <w:t>加密货币的优势在于让人们能够在不使用主流金融体系的情况下向世界各地汇款，但也因此遭到了监管机构的关注。各国央行和国际机构警告称，加密货币没有基础价值，并对宏观经济和金融稳定构成风险。</w:t>
      </w:r>
    </w:p>
    <w:p>
      <w:r>
        <w:t>今年5月，美国众议院通过了《21世纪金融创新与技术法案》（简称FIT21法案）。这是一项具有里程碑意义的加密市场立法，标志着美国对加密资产领域的态度可能发生巨变。</w:t>
      </w:r>
    </w:p>
    <w:p>
      <w:r>
        <w:t>该法案将为数字资产公司量身打造披露与注册制度，并将负责监管这一行业的机构从美国证券交易委员会（SEC）转为商品期货交易委员会（CFTC）。</w:t>
      </w:r>
    </w:p>
    <w:p>
      <w:r>
        <w:t>这被市场解读为对数字资产行业的利好，该行业此前一直抱怨称，SEC将传统的披露制度强加给它们，而这种做法这是行不通的。</w:t>
      </w:r>
    </w:p>
    <w:p>
      <w:r>
        <w:t>然而，FIT21法案是在由共和党人主导的众议院通过的，接下来将交由民主党控制的参议院进行表决，成功闯关参院的难度较大。此外，美国总统拜登已明确表达了对该法案的反对。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