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接下来的BTC行情怎么走？</w:t>
      </w:r>
    </w:p>
    <w:p>
      <w:pPr>
        <w:pStyle w:val="Heading1"/>
      </w:pPr>
      <w:r>
        <w:t>1.Crypto与AI的交融：AO计算机的万亿美元潜力</w:t>
      </w:r>
    </w:p>
    <w:p>
      <w:r>
        <w:t>我想强调的是，AO computer与当今大多数其他区块链有很大不同。它是因为Sam（创始人）和Arweave团队多年来的基础性工作才得以存在。就像深科技创业公司需要坚实的基础才能成功一样，如果没有Arweave安全的去中心化存储网络，AO也不可能实现。点击阅读</w:t>
      </w:r>
    </w:p>
    <w:p>
      <w:pPr>
        <w:pStyle w:val="Heading1"/>
      </w:pPr>
      <w:r>
        <w:t>2.Grayscale：2024年第三季度加密领域应关注什么？</w:t>
      </w:r>
    </w:p>
    <w:p>
      <w:r>
        <w:t>探索加密资产类别可能具有挑战性，这就是为什么 Grayscale 创建了 Crypto Sectors——一个全面的框架，用于了解所有可投资的加密资产以及它们与其基础技术的关系。 Crypto Sectors 为投资者提供了与传统市场常见工具相当的路线图，旨在帮助投资者更好地了解和驾驭不断发展的加密资产类别。此外，我们与 FTSE Russell 合作开发了 FTSE Grayscale 加密货币行业指数系列来衡量和监控加密货币市场。点击阅读</w:t>
      </w:r>
    </w:p>
    <w:p>
      <w:pPr>
        <w:pStyle w:val="Heading1"/>
      </w:pPr>
      <w:r>
        <w:t>3.Uniswap V2 数学与源码解读</w:t>
      </w:r>
    </w:p>
    <w:p>
      <w:r>
        <w:t>本篇研报是对 UniswapV2 协议的工作原理、项目构成、源码分析等部分进行详细解读。 工作原理主要是涉及自动做市商（ AMM ），本篇研报会描述流动性池的创建和管理过程，以及如何通过提供流动性赚取手续费；在项目构成方面，我们主要概述 UniswapV2 的架构，包括主要合约（如工厂合约、交换合约）及其功能；在源码分析部分我们分析 UniswapV2 的智能合约源码，解释关键函数和数据结构的设计理念。点击阅读</w:t>
      </w:r>
    </w:p>
    <w:p>
      <w:pPr>
        <w:pStyle w:val="Heading1"/>
      </w:pPr>
      <w:r>
        <w:t>4.Ledn首席投资官：接下来的BTC行情怎么走？</w:t>
      </w:r>
    </w:p>
    <w:p>
      <w:r>
        <w:t>周一，比特币跌破 60,000 美元。尽管此后价格已恢复到该水平，但人们仍在猜测下一个支撑线，一些人想知道价格是否会进一步下跌。</w:t>
      </w:r>
    </w:p>
    <w:p>
      <w:r>
        <w:t>Ledn 首席投资官 John Glover 谈到了一些值得关注的技术水平。他表示，</w:t>
      </w:r>
      <w:r>
        <w:t>下一个支撑位将是 55,000 美元或 56,000 美元</w:t>
      </w:r>
      <w:r>
        <w:t>；我们上次看到的价格是在五月初。点击阅读</w:t>
      </w:r>
    </w:p>
    <w:p>
      <w:pPr>
        <w:pStyle w:val="Heading1"/>
      </w:pPr>
      <w:r>
        <w:t>5.20亿美元空投后 Blast代币飙升40%</w:t>
      </w:r>
    </w:p>
    <w:p>
      <w:r>
        <w:t>期待已久的以太坊Layer 2网络原生代币 Blast (BLAST) 推出后飙升了 40%，表现优于最近几周上市的其他备受瞩目的空投。点击阅读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