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DAO抓马：Compound治理争议</w:t>
      </w:r>
    </w:p>
    <w:p>
      <w:r>
        <w:t>作者：Justin Baba，Messari分析师；编译：0xjs@本站</w:t>
      </w:r>
    </w:p>
    <w:p>
      <w:r>
        <w:t>DAO（去中心化自治组织）通常被视为中心化控制的更好替代方案，因为它们承诺通过去中心化和透明的治理使代币持有者拥有投票权和决策权。</w:t>
      </w:r>
    </w:p>
    <w:p>
      <w:r>
        <w:t>然而，最近与Compound Finance相关的事件突显了DAO可能遇到的潜在问题。</w:t>
      </w:r>
    </w:p>
    <w:p>
      <w:r>
        <w:t>2024年7月28日，由Humpy提出的提案289通过。该提案计划将Compound金库的5%（499,000 COMP代币，价值约2400万美元）分配给一个由“Golden Boys”小组设计的一年期收益协议。</w:t>
      </w:r>
    </w:p>
    <w:p>
      <w:r>
        <w:t>在此提案之前，Humpy曾尝试通过两个类似于提案289的提案，这引起了Compound安全顾问Michael Lewellen的注意。Lewellen发现多个钱包正在积累COMP以投票支持这些提案，并敦促治理代表投票反对这些提案。结果，这些提案未能通过。</w:t>
      </w:r>
    </w:p>
    <w:p>
      <w:r>
        <w:t>然而，由于COMP代币持有者参与治理的缺乏，提案在第三次尝试时通过了。总共有57个钱包对该提案进行了投票。</w:t>
      </w:r>
    </w:p>
    <w:p>
      <w:r>
        <w:t>为了解决这一情况，2024年7月29日，Compound的增长负责人Bryan Colligan创建了一个新提案，以解决提案289中提出的利益，具体细节如下：</w:t>
      </w:r>
    </w:p>
    <w:p>
      <w:r>
        <w:t>将创建一个新的质押产品，将从提供流动性和借贷中获得的一部分费用引导至COMP质押者。</w:t>
      </w:r>
    </w:p>
    <w:p>
      <w:r>
        <w:t>该质押产品将由Compound DAO控制，能够调整其风险参数。</w:t>
      </w:r>
    </w:p>
    <w:p>
      <w:r>
        <w:t>只有在Humpy取消提案289的情况下，此提案才能执行。</w:t>
      </w:r>
    </w:p>
    <w:p>
      <w:r>
        <w:t>这一情况强调了代币持有者积极参与DAO治理的重要性，并突显了其对协议可能产生的负面影响。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