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DeFiance Capital创始人：Aave被严重低估了</w:t>
      </w:r>
    </w:p>
    <w:p>
      <w:r>
        <w:t>原标题：Aave——去中心化金融和链上经济的核心支柱</w:t>
      </w:r>
    </w:p>
    <w:p>
      <w:r>
        <w:t>作者：0xArthur，DeFiance Capital创始人；编译；0xxz@本站</w:t>
      </w:r>
    </w:p>
    <w:p>
      <w:pPr>
        <w:pStyle w:val="Heading2"/>
      </w:pPr>
      <w:r>
        <w:t>Aave是规模最大、最久经考验的借贷协议</w:t>
      </w:r>
    </w:p>
    <w:p>
      <w:r>
        <w:t>作为链上借贷类别中无可争议的领导者，Aave 拥有极其牢固和粘性的护城河，我们认为，作为加密货币最重要领域之一的类别领导者，Aave 被严重低估了，并且未来具有市场尚未赶上的巨大增长空间。</w:t>
      </w:r>
    </w:p>
    <w:p>
      <w:r>
        <w:t>Aave 于 2020 年 1 月在以太坊主网上线，今年是其运营的第 5 年。自那时起，它已成为 DeFi 和借贷领域最久经考验的协议之一。Aave 目前是最大的借贷协议，活跃贷款额达 75 亿美元，是第二大协议 Spark 的 5 倍，这充分证明了这一点。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03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03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t>数据截止2024年8月5日</w:t>
      </w:r>
    </w:p>
    <w:p>
      <w:pPr>
        <w:pStyle w:val="Heading2"/>
      </w:pPr>
      <w:r>
        <w:t>协议指标不断增长，已超过上一周期的最高值</w:t>
      </w:r>
    </w:p>
    <w:p>
      <w:r>
        <w:t>Aave 也是少数几个超过 2021 年牛市指标的DeFi 协议之一。例如，其季度收入已超过牛市高峰期 2021 年第四季度的收入。值得注意的是，尽管市场从 22 年 11 月到 23 年 10 月横盘整理，但收入增长仍继续加速。随着市场在 2024 年第一季度和第二季度回暖，增长继续保持强劲，环比增长 50-60%。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965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965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Source: Token Terminal</w:t>
      </w:r>
    </w:p>
    <w:p>
      <w:r>
        <w:t>今年迄今，Aave TVL 几乎翻了一番，这得益于存款增加以及 WBTC 和 ETH 等基础抵押资产的代币价格上涨。因此，TVL 恢复到了 21 周期峰值水平的 51%，与其他顶级 DeFi 协议相比，其弹性更大。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03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0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数据截止2024年8月5日</w:t>
      </w:r>
    </w:p>
    <w:p>
      <w:pPr>
        <w:pStyle w:val="Heading2"/>
      </w:pPr>
      <w:r>
        <w:t>卓越的盈利质量表明产品市场契合度</w:t>
      </w:r>
    </w:p>
    <w:p>
      <w:r>
        <w:t>Aave 的收入在上一轮周期中达到顶峰，当时 Polygon、Avalanche 和 Fantom 等多个智能合约平台投入大量代币激励来吸引用户和流动性。这导致了雇佣资本和杠杆水平不可持续，从而支撑了该时期大多数协议的收入数据。</w:t>
      </w:r>
    </w:p>
    <w:p>
      <w:r>
        <w:t>快进到今天，来自主要公链的代币激励已经枯竭，而 Aave 自己的代币激励也降至微不足道的水平。</w:t>
      </w:r>
    </w:p>
    <w:p>
      <w:r>
        <w:t>Source: Token Terminal</w:t>
      </w:r>
    </w:p>
    <w:p>
      <w:r>
        <w:drawing>
          <wp:inline xmlns:a="http://schemas.openxmlformats.org/drawingml/2006/main" xmlns:pic="http://schemas.openxmlformats.org/drawingml/2006/picture">
            <wp:extent cx="4572000" cy="27355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355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这表明过去几个月指标的增长是有机的、可持续的，主要受市场投机活动回归的推动，从而推高了活跃贷款和借款利率。</w:t>
      </w:r>
    </w:p>
    <w:p>
      <w:r>
        <w:t>此外，即使在投机活动减弱的时期，Aave 也表现出了增长基本面的能力。在 8 月初全球风险资产市场崩盘期间，Aave 的收入保持了韧性，因为它在偿还贷款时成功获得了清算费。这也证明了它有能力抵御不同抵押品基础和链上的市场波动。</w:t>
      </w:r>
    </w:p>
    <w:p>
      <w:r>
        <w:t>数据截止2024年8月5日 Source: TokenLogic</w:t>
      </w:r>
    </w:p>
    <w:p>
      <w:r>
        <w:drawing>
          <wp:inline xmlns:a="http://schemas.openxmlformats.org/drawingml/2006/main" xmlns:pic="http://schemas.openxmlformats.org/drawingml/2006/picture">
            <wp:extent cx="4572000" cy="236982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98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尽管基本面强劲复苏，但 Aave 的交易市盈率仍处于三年来的最低水平</w:t>
      </w:r>
    </w:p>
    <w:p>
      <w:r>
        <w:t>尽管过去几个月指标强劲回升，但 Aave 的市销率（P/S）仍低至 17 倍，跌至 3 年来的最低水平，远低于 3 年中位数 62 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7358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735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Source: Coingecko, Token Terminal</w:t>
      </w:r>
    </w:p>
    <w:p>
      <w:pPr>
        <w:pStyle w:val="Heading2"/>
      </w:pPr>
      <w:r>
        <w:t>Aave 有望扩大其在去中心化借贷领域的主导地位</w:t>
      </w:r>
    </w:p>
    <w:p>
      <w:r>
        <w:t>Aave 的护城河主要由以下 4 点组成：</w:t>
      </w:r>
    </w:p>
    <w:p>
      <w:r>
        <w:t>1、协议安全管理的记录：大多数新的借贷协议在运营的第一年都会遇到安全事故。Aave 迄今为止没有发生过一起重大智能合约级安全事故。  平台稳健的风险管理往往是DeFi用户选择借贷平台的首要考虑因素，尤其是资金雄厚的大户用户。</w:t>
      </w:r>
    </w:p>
    <w:p>
      <w:r>
        <w:t>2、双边网络效应：DeFi 借贷是一个典型的双边市场。存款人和借款人构成了供需双方。一方的增长会刺激另一方的增长，使得后来的竞争对手越来越难以赶上。此外，平台的整体流动性越充足，存款人和借款人的流动性进出就越顺畅，对大资金用户来说就越有吸引力，进而刺激平台业务的进一步增长。</w:t>
      </w:r>
    </w:p>
    <w:p>
      <w:r>
        <w:t>3、优秀的DAO管理：Aave协议全面实现了DAO化管理，相比中心化团队管理模式，DAO化管理信息披露更加全面，重大决策社区讨论更加深入。此外，Aave的DAO社区拥有一批治理水平较高的专业机构，包括顶级风控服务商、做市商、第三方开发团队、金融顾问团队等，参与者来源多元化，治理参与度更高。</w:t>
      </w:r>
    </w:p>
    <w:p>
      <w:r>
        <w:t>4、多链生态定位：Aave 几乎部署在了所有主流 EVM L1/L2 链上，其 TVL（总锁定价值）在除 BNB Chain 之外的所有部署链上都处于领先地位。在即将推出的 Aave V4 版本中，将联动跨链流动性，使跨链流动性的优势更加凸显。详情见下图：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5072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507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数据截止2024年8月5日 Source: DeFiLlama</w:t>
      </w:r>
    </w:p>
    <w:p>
      <w:pPr>
        <w:pStyle w:val="Heading2"/>
      </w:pPr>
      <w:r>
        <w:t>改进代币经济学以推动价值累积并消除罚没问题</w:t>
      </w:r>
    </w:p>
    <w:p>
      <w:r>
        <w:t>Aave Chan 倡议刚刚启动了一个提案彻底改革 AAVE 的代币经济学，通过引入收益分享机制来增强代币的实用性</w:t>
      </w:r>
    </w:p>
    <w:p>
      <w:r>
        <w:t>第一个重大转变是消除在调动安全模块时被罚没AAVE的风险。</w:t>
      </w:r>
    </w:p>
    <w:p>
      <w:r>
        <w:t>● 目前，$AAVE（stkAAVE - 2.28 亿美元 TVL）和$AAVE/$ETH安全模块中的 Balancer LP 代币（stkABPT - 9900 万美元 TVL）面临被罚没代币以弥补短缺事件的风险。</w:t>
      </w:r>
    </w:p>
    <w:p>
      <w:r>
        <w:t>● 然而，由于与产生坏账的抵押资产缺乏相关性，stkAAVE 和 stkABPT 并不是良好的覆盖资产。$AAVE在此类事件中也会循环减少覆盖。</w:t>
      </w:r>
    </w:p>
    <w:p>
      <w:r>
        <w:t>● 在新的 Umbrella 安全模块下，stkAAVE 和 stkABPT 将被以 aUSDC 和 awETH 开头的 stk aTokens 取代。aUSDC 和 awETH 供应商可以选择将其资产质押以赚取额外费用（以$AAVE，$GHO（协议收入）加上借款人赚取的利息。在发生短缺事件时，这些质押资产可能会被削罚没和烧毁。</w:t>
      </w:r>
    </w:p>
    <w:p>
      <w:r>
        <w:t>● 这种安排对平台用户和$AAVE代币持有者。</w:t>
      </w:r>
    </w:p>
    <w:p>
      <w:r>
        <w:t>此外，通过收入分享机制将$AAVE引入有更多需求驱动因素。</w:t>
      </w:r>
    </w:p>
    <w:p>
      <w:r>
        <w:t>● 引入反GHO</w:t>
      </w:r>
    </w:p>
    <w:p>
      <w:r>
        <w:t>目前，stkAAVE 用户铸币和借贷GHO均可享受 3% 折扣。</w:t>
      </w:r>
    </w:p>
    <w:p>
      <w:r>
        <w:t>这将被一种新的“反 GHO”代币取代，该代币由铸造 GHO 的 stkAAVE 持有者生成。反 GHO 的生成是线性的，与所有 GHO 借款人累积的利息成正比。</w:t>
      </w:r>
    </w:p>
    <w:p>
      <w:r>
        <w:t>用户可以claim Anti-GHO，并以两种方式使用：烧毁 Anti-GHO 以铸造 GHO，可用于免费偿还债务、存入stkGHO的GHO安全模块</w:t>
      </w:r>
    </w:p>
    <w:p>
      <w:r>
        <w:t>这增加了 AAVE 质押者与 GHO 借款人的一致性，并将成为更广泛的收入分享战略的第一步。</w:t>
      </w:r>
    </w:p>
    <w:p>
      <w:r>
        <w:t>● 燃烧和分发程序</w:t>
      </w:r>
    </w:p>
    <w:p>
      <w:r>
        <w:t>○ Aave 将允许将净超额协议收入重新分配给代币质押者，但须满足以下条件：</w:t>
      </w:r>
    </w:p>
    <w:p>
      <w:r>
        <w:t>■ Aave Collector 净持有量是过去 30 天 2 个年度服务提供商的经常性成本。</w:t>
      </w:r>
    </w:p>
    <w:p>
      <w:r>
        <w:t>■ Aave 协议 90 天年化收入是年初至今所有协议支出的 150%，包括 AAVE 收购预算和 aWETH 和 aUSDC 伞形预算。</w:t>
      </w:r>
    </w:p>
    <w:p>
      <w:r>
        <w:t>从那时起，我们将开始观察到 Aave 协议的回购量持续保持在 8 位数，并且随着 Aave 协议的持续发展，回购量还将进一步增长。</w:t>
      </w:r>
    </w:p>
    <w:p>
      <w:r>
        <w:t>而且，AAVE几乎完全稀释，未来没有重大的供应解锁，这与最近发布的代币形成鲜明对比，由于低流通高完全稀释估值（FDV）动态，这些代币在代币生成事件（TGE）时出现亏损。</w:t>
      </w:r>
    </w:p>
    <w:p>
      <w:pPr>
        <w:pStyle w:val="Heading2"/>
      </w:pPr>
      <w:r>
        <w:t>Aave 未来将实现显著增长</w:t>
      </w:r>
    </w:p>
    <w:p>
      <w:r>
        <w:t>Aave 未来有多种增长因素，并且它也有望从加密货币作为资产类别的长期增长中获益。从根本上讲，Aave 的收入可以通过多种方式增长：</w:t>
      </w:r>
    </w:p>
    <w:p>
      <w:pPr>
        <w:pStyle w:val="Heading3"/>
      </w:pPr>
      <w:r>
        <w:t>Aave v4</w:t>
      </w:r>
    </w:p>
    <w:p>
      <w:r>
        <w:t>Aave V4 将进一步增强其功能，并使该协议步入正轨，以吸引下一个十亿用户加入 DeFi。首先，Aave 将专注于通过构建统一流动性层来彻底改变用户与 DeFi 交互的体验。通过实现跨多个网络（EVM 和最终非 EVM）的无缝流动性访问，Aave 将消除借贷跨链转换的复杂性。统一流动性层还将严重依赖账户抽象和智能账户，以允许用户管理跨隔离资产的多个头寸。</w:t>
      </w:r>
    </w:p>
    <w:p>
      <w:r>
        <w:t>其次，Aave 将通过扩展到其他链和引入新的资产类别来提高其平台的可访问性。6 月，Aave 社区认可了该协议在 zkSync 上的部署。此举标志着 Aave 进入其第 13 个区块链网络。不久后的 7 月，Aptos 基金会起草了一份在 Aptos 上部署 Aave 的提案。如果获得通过，Aptos 的部署将是 Aave 首次进军非 EVM 网络，并将进一步巩固其作为真正的多链 DeFi 强国的地位。此外，Aave 还将探索集成基于 RWA 的产品，这些产品将围绕 GHO 构建。此举有可能将传统金融与 DeFi 联系起来，吸引机构投资者并为 Aave 生态系统带来大量新资本。</w:t>
      </w:r>
    </w:p>
    <w:p>
      <w:r>
        <w:t>这些发展最终促成了 Aave 网络的创建，该网络将成为利益相关者与协议交互的中心枢纽。GHO 将用于收取费用，而 AAVE 将成为去中心化验证者的主要质押资产。鉴于 Aave 网络将开发为 L1 或 L2 网络，我们预计市场将相应地重新定价其代币，以反映正在构建的额外基础设施层。</w:t>
      </w:r>
    </w:p>
    <w:p>
      <w:pPr>
        <w:pStyle w:val="Heading3"/>
      </w:pPr>
      <w:r>
        <w:t>增长与 BTC 和 ETH 作为资产类别的增长呈正相关</w:t>
      </w:r>
    </w:p>
    <w:p>
      <w:r>
        <w:t>今年推出的比特币和以太坊 ETF 是加密货币采用的分水岭，为投资者提供了一种受监管且熟悉的工具，让他们无需直接拥有数字资产即可投资数字资产。通过降低准入门槛，这些 ETF 有望吸引来自机构投资者和散户参与者的大量资本，从而进一步促进数字资产融入主流投资组合。</w:t>
      </w:r>
    </w:p>
    <w:p>
      <w:r>
        <w:t>鉴于 Aave 超过 75% 的资产基础由非稳定币资产（主要是 BTC 和 ETH 衍生资产）组成，更广泛的加密货币市场的增长对 Aave 来说是一个福音。因此，Aave 的 TVL 和收入增长与这些资产的增长直接相关。</w:t>
      </w:r>
    </w:p>
    <w:p>
      <w:pPr>
        <w:pStyle w:val="Heading3"/>
      </w:pPr>
      <w:r>
        <w:t>增长与稳定币供应量挂钩</w:t>
      </w:r>
    </w:p>
    <w:p>
      <w:r>
        <w:t>我们还可以预期 Aave 将从稳定币市场的增长中受益。随着全球央行发出转向降息周期的信号，这将降低寻求收益来源的投资者的机会成本。这可能会催化资本从传统金融收益工具转向 DeFi 中的稳定币耕作，以获得更具吸引力的收益。此外，我们可以预期牛市中的风险寻求行为会更高，这有助于提高 Aave 等平台上稳定币的借入利用率。</w:t>
      </w:r>
    </w:p>
    <w:p>
      <w:pPr>
        <w:pStyle w:val="Heading2"/>
      </w:pPr>
      <w:r>
        <w:t>最后的想法</w:t>
      </w:r>
    </w:p>
    <w:p>
      <w:r>
        <w:t>重申一下，我们看好 Aave 作为庞大且不断增长的去中心化借贷市场的领先项目的前景。我们进一步概述了支撑未来增长的关键驱动因素，并详细说明了每个驱动因素如何进一步扩展。</w:t>
      </w:r>
    </w:p>
    <w:p>
      <w:r>
        <w:t>我们还认为，Aave 将继续占据市场份额的主导地位，因为它建立了强大的网络效应，这得益于代币的流动性和可组合性。即将到来的代币经济学升级有助于进一步提高协议的安全性，并进一步增强其价值获取方面。</w:t>
      </w:r>
    </w:p>
    <w:p>
      <w:r>
        <w:t>过去几年，市场将所有 DeFi 协议归为一类，并将它们定价为未来增长空间不大的协议。Aave 的 TVL 和收入运行率呈上升趋势，而其估值倍数却在压缩，这充分说明了这一点。我们认为，这种估值和基本面的偏差不会持续很长时间，AAVE现在提供一些加密货币领域最佳的风险调整投资机会。</w:t>
      </w:r>
    </w:p>
    <w:p>
      <w:r>
        <w:t>原文链接：https://x.com/Arthur_0x/status/1825595598609023039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