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Blockworks Research：从链上数据看Memecoin</w:t>
      </w:r>
    </w:p>
    <w:p>
      <w:r>
        <w:t>来源：Blockworks Research；编译：0xjs@本站</w:t>
      </w:r>
    </w:p>
    <w:p>
      <w:r>
        <w:t>Memecoin长期以来一直是加密货币领域的争论点，</w:t>
      </w:r>
    </w:p>
    <w:p>
      <w:r>
        <w:t>pump.fun代币占据 Solana 每日 DEX 交易量的 20% 以上。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86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行业对Memecoin的不满是否是多余的？本文略叙一二。</w:t>
      </w:r>
    </w:p>
    <w:p>
      <w:r>
        <w:t>Memecoin 自加密货币早期就已存在，最早出现在 2013 年的 DOGE 上。2021 年，DOGE 和 SHIB 与其他代币（如臭名昭著的 Safemoon）一起达到了惊人的高度。在过去的一年里，一批新的 meme 获得了关注。</w:t>
      </w:r>
    </w:p>
    <w:p>
      <w:r>
        <w:t>如果我们追溯新代币创建位于的公链的历史主导地位，我们会发现它与 memecoin 的主导地位有相似之处。</w:t>
      </w:r>
    </w:p>
    <w:p>
      <w:r>
        <w:t>最初，几乎所有代币都是在 ETH 上创建的，随后是持久的 BSC 时代，而最近 Solana 已巩固了自己作为代币创建中心的地位。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86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如今，Solana 每周向链上经济引入超过 10 万个新的代币对，这主要得益于pump.fun。Pump 平台已将代币创建成本和工作量降至接近 0，从而引发更多想法以 memecoin 形式进行尝试。</w:t>
      </w:r>
    </w:p>
    <w:p>
      <w:r>
        <w:t>Memecoin 的增长也可以通过 Telegram DEX Bot 活动的增长看出。该类别的交易量超过 300 亿美元，并且在过去一年中实现了显著的多样化和增长。</w:t>
      </w:r>
    </w:p>
    <w:p>
      <w:r>
        <w:drawing>
          <wp:inline xmlns:a="http://schemas.openxmlformats.org/drawingml/2006/main" xmlns:pic="http://schemas.openxmlformats.org/drawingml/2006/picture">
            <wp:extent cx="4572000" cy="2286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回顾类别领导者中历史最热门的货币对，我们发现 memecoin 在历史上和现在都占据 DEX 机器人使用率的主导地位。换句话说，它们已成为 memecoin 交易者的专业交易场所。</w:t>
      </w:r>
    </w:p>
    <w:p>
      <w:r>
        <w:drawing>
          <wp:inline xmlns:a="http://schemas.openxmlformats.org/drawingml/2006/main" xmlns:pic="http://schemas.openxmlformats.org/drawingml/2006/picture">
            <wp:extent cx="4572000" cy="22860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有趣的是，pump.fun 和 DEX 机器人应用程序的应用内交易量收费率都在 1% 左右。这些都是利润丰厚的业务——散户愿意为参加 memecoin彩票付费。</w:t>
      </w:r>
    </w:p>
    <w:p>
      <w:r>
        <w:t>此外，Farcaster Frames 和 Solana Blinks 的引入意味着将 memecoin 直接集成到现有的社交信息中，并扩大 memecoin 与内容创作之间的联系。</w:t>
      </w:r>
    </w:p>
    <w:p>
      <w:r>
        <w:t>然而，尽管散户乐于追逐 memecoin 波动性，但机构仍处于观望状态。但可能可以制定高级策略，通过这些代币相对于 gas 资产的 beta 速度来交易它们（例如 WIF 到 SOL）。</w:t>
      </w:r>
    </w:p>
    <w:p>
      <w:r>
        <w:t>展望未来，我们开始看到从 memecoin 到广义注意力代币的转变，其中社交整合代币可以作为激励在线内容生成的基础。</w:t>
      </w:r>
    </w:p>
    <w:p>
      <w:r>
        <w:drawing>
          <wp:inline xmlns:a="http://schemas.openxmlformats.org/drawingml/2006/main" xmlns:pic="http://schemas.openxmlformats.org/drawingml/2006/picture">
            <wp:extent cx="4572000" cy="22860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