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详解3EX CryptoGPT策略构建的规范：打造属于自己的量化交易</w:t>
      </w:r>
    </w:p>
    <w:p>
      <w:pPr>
        <w:pStyle w:val="Heading3"/>
      </w:pPr>
      <w:r>
        <w:t>3EX是一站式AI交易平台，通过与AI对话实现，策略定制、参数调整、盈亏模拟、信号执行、策略带单、一键跟单。用3EX-AI交易，帮代理拉新，帮用户赚钱。</w:t>
      </w:r>
    </w:p>
    <w:p>
      <w:pPr>
        <w:pStyle w:val="Heading3"/>
      </w:pPr>
      <w:r>
        <w:t>在现代金融市场中，量化交易已经成为一种主流的投资方式。通过将交易策略算法化，投资者能够更精准、更高效地捕捉市场机会，而3EX CryptoGPT正是一个为用户提供这种强大工具的平台。本文将详细讲解如何通过3EX CryptoGPT构建符合自己需求的量化交易策略，并介绍一些关键的参数设置、开仓和平仓条件，以及风险管理和策略总结。</w:t>
      </w:r>
    </w:p>
    <w:p>
      <w:r>
        <w:t>首先一切策略都可以在3EX的CryptoGPT上面描写完成并且难度很低，及易上手。</w:t>
      </w:r>
    </w:p>
    <w:p>
      <w:r>
        <w:drawing>
          <wp:inline xmlns:a="http://schemas.openxmlformats.org/drawingml/2006/main" xmlns:pic="http://schemas.openxmlformats.org/drawingml/2006/picture">
            <wp:extent cx="4572000" cy="261366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6136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Heading4"/>
      </w:pPr>
      <w:r>
        <w:t>一、策略构建的基本要素</w:t>
      </w:r>
    </w:p>
    <w:p>
      <w:r>
        <w:t>在构建量化交易策略时，首先需要明确交易的基本要素，包括指标选择、参数设置、开仓和平仓条件的定义等。每一个要素的设定都将直接影响策略的表现，因此在设计过程中需要仔细推敲。</w:t>
      </w:r>
    </w:p>
    <w:p>
      <w:r>
        <w:t>指标选择</w:t>
      </w:r>
      <w:r>
        <w:t>：在3EX CryptoGPT平台上，用户可以选择各种技术指标进行策略构建。MACD（移动平均收敛/发散指标）和SMA（简单移动平均线）是常用的技术指标，它们能够有效捕捉市场趋势的变化。</w:t>
      </w:r>
    </w:p>
    <w:p>
      <w:r>
        <w:t>参数设置</w:t>
      </w:r>
      <w:r>
        <w:t>：参数的设置对策略的敏感性和稳定性有着至关重要的影响。合理的参数设置能够在不同的市场环境下表现出色，而过于敏感的参数则可能导致策略在市场波动中表现不佳。</w:t>
      </w:r>
    </w:p>
    <w:p>
      <w:r>
        <w:t>开仓和平仓条件</w:t>
      </w:r>
      <w:r>
        <w:t>：这些条件决定了何时进入和退出市场。一个好的策略应该能够在适当的时机开仓，并在达到预定目标或出现风险时平仓，以锁定收益或减少损失。</w:t>
      </w:r>
    </w:p>
    <w:p>
      <w:r>
        <w:t>风险管理</w:t>
      </w:r>
      <w:r>
        <w:t>：有效的风险管理是量化交易策略的核心，它能够帮助用户在市场波动中保持稳定的收益，并防止因突发市场事件导致的巨大损失。</w:t>
      </w:r>
    </w:p>
    <w:p>
      <w:pPr>
        <w:pStyle w:val="Heading4"/>
      </w:pPr>
      <w:r>
        <w:t>二、MACD与SMA结合的策略设计</w:t>
      </w:r>
    </w:p>
    <w:p>
      <w:r>
        <w:t>本节将详细介绍一个利用MACD和SMA结合的量化交易策略。这一策略通过监测市场趋势的变化，自动在合适的时机开仓和平仓。</w:t>
      </w:r>
    </w:p>
    <w:p>
      <w:pPr>
        <w:pStyle w:val="Heading5"/>
      </w:pPr>
      <w:r>
        <w:t>1. 参数设置</w:t>
      </w:r>
    </w:p>
    <w:p>
      <w:r>
        <w:t>首先，我们需要对策略中使用的技术指标进行参数设置。在本策略中，MACD和SMA是核心指标，具体参数如下：</w:t>
      </w:r>
    </w:p>
    <w:p>
      <w:r>
        <w:t>MACD快速移动平均线周期</w:t>
      </w:r>
      <w:r>
        <w:t>: 12</w:t>
      </w:r>
    </w:p>
    <w:p>
      <w:r>
        <w:t>MACD慢速移动平均线周期</w:t>
      </w:r>
      <w:r>
        <w:t>: 26</w:t>
      </w:r>
    </w:p>
    <w:p>
      <w:r>
        <w:t>MACD信号线周期</w:t>
      </w:r>
      <w:r>
        <w:t>: 9</w:t>
      </w:r>
    </w:p>
    <w:p>
      <w:r>
        <w:t>非常慢的移动平均线周期（SMA）</w:t>
      </w:r>
      <w:r>
        <w:t>: 200</w:t>
      </w:r>
    </w:p>
    <w:p>
      <w:r>
        <w:t>这些参数是经典的MACD设置，通过对市场价格进行平滑处理，帮助用户识别市场的趋势变化。200周期的SMA则用来判断市场的长期趋势，为开仓和平仓提供参考。</w:t>
      </w:r>
    </w:p>
    <w:p>
      <w:pPr>
        <w:pStyle w:val="Heading5"/>
      </w:pPr>
      <w:r>
        <w:t>2. 多头开仓条件</w:t>
      </w:r>
    </w:p>
    <w:p>
      <w:r>
        <w:t>在确定了参数设置后，接下来需要定义具体的开仓条件。对于多头开仓，本策略规定了如下条件：</w:t>
      </w:r>
    </w:p>
    <w:p>
      <w:r>
        <w:t>MACD柱状图（hist）从负数变为正数</w:t>
      </w:r>
      <w:r>
        <w:t>：这表明市场由下跌趋势转为上涨趋势。</w:t>
      </w:r>
    </w:p>
    <w:p>
      <w:r>
        <w:t>MACD值大于0</w:t>
      </w:r>
      <w:r>
        <w:t>：表示当前市场处于上涨趋势中。</w:t>
      </w:r>
    </w:p>
    <w:p>
      <w:r>
        <w:t>MACD的快速均线（fastMA）高于慢速均线（slowMA）</w:t>
      </w:r>
      <w:r>
        <w:t>：确认市场的上涨趋势。</w:t>
      </w:r>
    </w:p>
    <w:p>
      <w:r>
        <w:t>收盘价高于200周期SMA（veryslowMA）</w:t>
      </w:r>
      <w:r>
        <w:t>：确保当前市场处于长期上涨趋势中。</w:t>
      </w:r>
    </w:p>
    <w:p>
      <w:r>
        <w:t>当上述条件同时满足时，系统将自动执行多头开仓操作。此外，为了控制风险，本策略使用最低价作为止损价（buyprice），一旦市场价格跌破最低价，系统将自动止损出场。</w:t>
      </w:r>
    </w:p>
    <w:p>
      <w:pPr>
        <w:pStyle w:val="Heading5"/>
      </w:pPr>
      <w:r>
        <w:t>3. 空头开仓条件</w:t>
      </w:r>
    </w:p>
    <w:p>
      <w:r>
        <w:t>与多头开仓类似，空头开仓的条件也基于MACD和SMA的变化，但方向相反：</w:t>
      </w:r>
    </w:p>
    <w:p>
      <w:r>
        <w:t>MACD柱状图（hist）从正数变为负数</w:t>
      </w:r>
      <w:r>
        <w:t>：表明市场由上涨趋势转为下跌趋势。</w:t>
      </w:r>
    </w:p>
    <w:p>
      <w:r>
        <w:t>MACD值小于0</w:t>
      </w:r>
      <w:r>
        <w:t>：表示当前市场处于下跌趋势中。</w:t>
      </w:r>
    </w:p>
    <w:p>
      <w:r>
        <w:t>MACD的快速均线（fastMA）低于慢速均线（slowMA）</w:t>
      </w:r>
      <w:r>
        <w:t>：确认市场的下跌趋势。</w:t>
      </w:r>
    </w:p>
    <w:p>
      <w:r>
        <w:t>收盘价低于200周期SMA（veryslowMA）</w:t>
      </w:r>
      <w:r>
        <w:t>：确保当前市场处于长期下跌趋势中。</w:t>
      </w:r>
    </w:p>
    <w:p>
      <w:r>
        <w:t>当上述条件同时满足时，系统将自动执行空头开仓操作。本策略使用最高价作为止损价（sellprice），一旦市场价格突破最高价，系统将自动止损出场。</w:t>
      </w:r>
    </w:p>
    <w:p>
      <w:pPr>
        <w:pStyle w:val="Heading5"/>
      </w:pPr>
      <w:r>
        <w:t>4. 平仓条件</w:t>
      </w:r>
    </w:p>
    <w:p>
      <w:r>
        <w:t>平仓条件是策略执行中不可或缺的部分，它决定了何时退出市场以锁定收益或减少损失。对于本策略而言，平仓条件如下：</w:t>
      </w:r>
    </w:p>
    <w:p>
      <w:r>
        <w:t>取消多头订单条件</w:t>
      </w:r>
      <w:r>
        <w:t>：如果慢速均线（slowMA）低于200周期的SMA（veryslowMA），则取消多头订单（MACDLE）。</w:t>
      </w:r>
    </w:p>
    <w:p>
      <w:r>
        <w:t>取消空头订单条件</w:t>
      </w:r>
      <w:r>
        <w:t>：如果慢速均线（slowMA）高于200周期的SMA（veryslowMA），则取消空头订单（MACDSE）。</w:t>
      </w:r>
    </w:p>
    <w:p>
      <w:r>
        <w:t>这些条件确保了当市场趋势逆转时，系统能够及时平仓，避免利润回吐或损失扩大。</w:t>
      </w:r>
    </w:p>
    <w:p>
      <w:pPr>
        <w:pStyle w:val="Heading4"/>
      </w:pPr>
      <w:r>
        <w:t>三、风险管理</w:t>
      </w:r>
    </w:p>
    <w:p>
      <w:r>
        <w:t>在量化交易中，风险管理的重要性不言而喻。即使策略本身表现优秀，若没有有效的风险控制，依然可能因单次意外波动而导致巨大损失。因此，合理的风险管理策略是保障策略长期稳定盈利的关键。</w:t>
      </w:r>
    </w:p>
    <w:p>
      <w:pPr>
        <w:pStyle w:val="Heading5"/>
      </w:pPr>
      <w:r>
        <w:t>1. 最大日内亏损保护</w:t>
      </w:r>
    </w:p>
    <w:p>
      <w:r>
        <w:t>本策略设定了一个50%的最大日内亏损保护机制，即如果当日损失达到或超过50%的账户资金，系统将自动平仓所有仓位。这个机制确保了即使在极端市场条件下，用户的资金也能得到有效保护，避免因市场大幅波动而导致账户被清空。</w:t>
      </w:r>
    </w:p>
    <w:p>
      <w:pPr>
        <w:pStyle w:val="Heading5"/>
      </w:pPr>
      <w:r>
        <w:t>2. 止损和止盈机制</w:t>
      </w:r>
    </w:p>
    <w:p>
      <w:r>
        <w:t>除了最大日内亏损保护外，本策略还设置了止损和止盈机制。在多头和空头开仓时，分别使用最低价和最高价作为止损点，一旦市场价格突破止损点，系统将立即平仓，避免进一步损失。同时，用户也可以根据市场情况自行设定止盈点位，一旦达到预定目标，系统将自动平仓以锁定收益。</w:t>
      </w:r>
    </w:p>
    <w:p>
      <w:pPr>
        <w:pStyle w:val="Heading4"/>
      </w:pPr>
      <w:r>
        <w:t>四、颜色与图形设置</w:t>
      </w:r>
    </w:p>
    <w:p>
      <w:r>
        <w:t>为了帮助用户更直观地理解市场趋势，本策略还设置了颜色和图形的动态变化，以可视化当前的市场状态。</w:t>
      </w:r>
    </w:p>
    <w:p>
      <w:r>
        <w:t>绿色表示上涨趋势</w:t>
      </w:r>
      <w:r>
        <w:t>：当MACD和SMA指标显示市场处于上涨趋势时，K线和背景将显示为绿色，提醒用户当前市场处于多头状态。</w:t>
      </w:r>
    </w:p>
    <w:p>
      <w:r>
        <w:t>红色表示下跌趋势</w:t>
      </w:r>
      <w:r>
        <w:t>：当MACD和SMA指标显示市场处于下跌趋势时，K线和背景将显示为红色，提醒用户当前市场处于空头状态。</w:t>
      </w:r>
    </w:p>
    <w:p>
      <w:r>
        <w:t>这种颜色和图形的动态变化使得用户能够快速识别市场趋势，并作出相应的交易决策。</w:t>
      </w:r>
    </w:p>
    <w:p>
      <w:pPr>
        <w:pStyle w:val="Heading4"/>
      </w:pPr>
      <w:r>
        <w:t>五、策略总结</w:t>
      </w:r>
    </w:p>
    <w:p>
      <w:r>
        <w:t>通过对MACD和SMA的有效结合，本策略旨在利用价格突破关键均线和MACD信号的变化来捕捉市场趋势。它不仅能够帮助用户在市场趋势明朗时抓住交易机会，还能够通过严格的风险管理机制，防止意外的大幅亏损。</w:t>
      </w:r>
    </w:p>
    <w:p>
      <w:r>
        <w:t>本策略的特点在于：</w:t>
      </w:r>
    </w:p>
    <w:p>
      <w:r>
        <w:t>精准的开仓和平仓条件</w:t>
      </w:r>
      <w:r>
        <w:t>：通过MACD和SMA的配合，本策略能够准确识别市场的趋势变化，确保在最佳时机开仓和平仓。</w:t>
      </w:r>
    </w:p>
    <w:p>
      <w:r>
        <w:t>严格的风险管理</w:t>
      </w:r>
      <w:r>
        <w:t>：通过设置最大日内亏损保护和止损机制，策略能够有效控制风险，保障用户资金安全。</w:t>
      </w:r>
    </w:p>
    <w:p>
      <w:r>
        <w:t>直观的图形可视化</w:t>
      </w:r>
      <w:r>
        <w:t>：通过动态颜色和图形变化，策略能够帮助用户更直观地理解市场趋势，做出及时的交易决策。</w:t>
      </w:r>
    </w:p>
    <w:p>
      <w:r>
        <w:t>总的来说，3EX CryptoGPT提供了一个强大的平台，使用户能够轻松创建、优化和执行量化交易策略。通过合理的策略设计和严格的风险管理，用户可以在快速变化的市场中实现自动化盈利，真正颠覆传统的交易方式。</w:t>
      </w:r>
    </w:p>
    <w:p>
      <w:pPr>
        <w:pStyle w:val="Heading4"/>
      </w:pPr>
      <w:r>
        <w:t>六、未来展望</w:t>
      </w:r>
    </w:p>
    <w:p>
      <w:r>
        <w:t>随着AI技术和区块链技术的不断发展，3EX CryptoGPT无疑将在未来的量化交易中扮演更加重要的角色。通过持续的技术创新和用户反馈的积累，平台将不断优化其策略构建功能，为用户提供更加精准、灵活的量化交易工具。</w:t>
      </w:r>
    </w:p>
    <w:p>
      <w:r>
        <w:t>未来，3EX CryptoGPT还计划引入更多的技术指标和交易工具，进一步提升策略的多样性和适应性。同时，随着用户群体的不断扩大，平台将积累更多的市场数据，这将进一步提升AI算法的准确性和策略的盈利能力。</w:t>
      </w:r>
    </w:p>
    <w:p>
      <w:r>
        <w:t>对于每一位希望在数字货币市场中取得成功的投资者来说，3EX CryptoGPT无疑是一个值得信赖的伙伴。通过本文的详解，我们可以看到，通过合理的策略构建和严格的风险管理，用户可以在这个平台上实现真正的自动化盈利，开创属于自己的量化交易之路。</w:t>
      </w:r>
    </w:p>
    <w:p>
      <w:r>
        <w:t>3EX相关链接：</w:t>
      </w:r>
    </w:p>
    <w:p>
      <w:r>
        <w:t>Twitter(CN): https://twitter.com/3EX_ZH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