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早报 | 鲍威尔的转向政策已经完成 比特币挖矿机会价值约740亿美元</w:t>
      </w:r>
    </w:p>
    <w:p>
      <w:pPr>
        <w:pStyle w:val="Heading2"/>
      </w:pPr>
      <w:r>
        <w:t>头条</w:t>
      </w:r>
    </w:p>
    <w:p>
      <w:r>
        <w:t>▌</w:t>
      </w:r>
      <w:r>
        <w:t>美联储传声筒：鲍威尔的转向政策已经完成</w:t>
      </w:r>
    </w:p>
    <w:p>
      <w:r>
        <w:t>“美联储传声筒”Nick Timiraos在社交媒体发文称，今日的讲话表明鲍威尔的转向政策已经完成，鲍威尔在讲话中表现出了全面的鸽派，两年前他还在同一时期表示，美联储将接受经济衰退作为恢复通胀的代价。</w:t>
      </w:r>
    </w:p>
    <w:p>
      <w:r>
        <w:t>▌</w:t>
      </w:r>
      <w:r>
        <w:t>摩根大通：比特币挖矿机会价值约740亿美元</w:t>
      </w:r>
    </w:p>
    <w:p>
      <w:r>
        <w:t>华尔街投行摩根大通最新研报显示，按当前比特币价格计算，剩余130万枚待挖掘比特币的潜在价值约为740亿美元。该行同时下调了CleanSpark（CLSK）、Iren（IREN）、Marathon Digital（MARA）、RiotPlatforms（RIOT）的目标价，以反映第二季度业绩以及比特币价格和网络算力的变化。 摩根大通预计，未来四年的区块奖励收入机会约为370亿美元，较6月初下降19%，但同比增长85%。该行表示偏好Iren和Riot Platforms，认为这些股票近期的表现不佳为投资者提供了买入机会。</w:t>
      </w:r>
    </w:p>
    <w:p>
      <w:pPr>
        <w:pStyle w:val="Heading2"/>
      </w:pPr>
      <w:r>
        <w:t>行情</w:t>
      </w:r>
    </w:p>
    <w:p>
      <w:r>
        <w:t>截至发稿，据Coingecko数据显示：</w:t>
      </w:r>
    </w:p>
    <w:p>
      <w:r>
        <w:t>BTC最近成交价64,031.39美元，日内涨跌幅</w:t>
      </w:r>
      <w:r>
        <w:t>+5.8%</w:t>
      </w:r>
      <w:r>
        <w:t>；</w:t>
      </w:r>
    </w:p>
    <w:p>
      <w:r>
        <w:t>ETH最近成交价2,760.33元，日内涨跌幅</w:t>
      </w:r>
      <w:r>
        <w:t>+5.1%</w:t>
      </w:r>
      <w:r>
        <w:t>；</w:t>
      </w:r>
    </w:p>
    <w:p>
      <w:r>
        <w:t>BNB最近成交价590.60美元，日内涨跌幅</w:t>
      </w:r>
      <w:r>
        <w:t>+1.6%</w:t>
      </w:r>
      <w:r>
        <w:t>；</w:t>
      </w:r>
    </w:p>
    <w:p>
      <w:r>
        <w:t>SOL最近成交价153.08美元，日内涨跌幅</w:t>
      </w:r>
      <w:r>
        <w:t>+6.4%</w:t>
      </w:r>
      <w:r>
        <w:t>；</w:t>
      </w:r>
    </w:p>
    <w:p>
      <w:r>
        <w:t>DOGE最近成交价0.1131美元，日内涨跌幅</w:t>
      </w:r>
      <w:r>
        <w:t>+7.0%</w:t>
      </w:r>
      <w:r>
        <w:t>；</w:t>
      </w:r>
    </w:p>
    <w:p>
      <w:r>
        <w:t>XPR最近成交价0.6091美元，日内涨跌幅</w:t>
      </w:r>
      <w:r>
        <w:t>+1.9%</w:t>
      </w:r>
      <w:r>
        <w:t>。</w:t>
      </w:r>
    </w:p>
    <w:p>
      <w:pPr>
        <w:pStyle w:val="Heading2"/>
      </w:pPr>
      <w:r>
        <w:t>政策</w:t>
      </w:r>
    </w:p>
    <w:p>
      <w:r>
        <w:t>▌</w:t>
      </w:r>
      <w:r>
        <w:t>香港国际新经济研究院：虚拟资产市场将迎来洗牌，部分不合规U商和项目方可能退出</w:t>
      </w:r>
    </w:p>
    <w:p>
      <w:r>
        <w:t xml:space="preserve">香港国际新经济研究院执行董事付饶在大公报撰文《完善虚拟资产监管行业健康发展》，指出中国最高人民法院、最高人民检察院联合发布关于办理洗钱刑事案件适用法律若干问题的解释，其中将通过虚拟资产交易明确列为洗钱方式之一，将对虚拟资产行业产生以下几方面的影响： </w:t>
        <w:br/>
        <w:t xml:space="preserve">1）行业合上升。法规的出台意味着从业者需要更加关注合规问题，加大合规投入，以确保业务合法合规。市场将迎来洗牌，部分不合规的U商和项目方可能会退出市场，行业集中度进一步提高。 </w:t>
        <w:br/>
        <w:t xml:space="preserve">2）投资者教育加强。法规的出台将促使投资者更加关注虚拟资产的风险，提高投资者的风险识别能力。 </w:t>
        <w:br/>
        <w:t xml:space="preserve">3）行业监管逐步完善。此次司法解释的发布，有助于监管部门对虚拟资产行业进行更有效的监管，促进行业健康发展。 </w:t>
        <w:br/>
        <w:t>由于香港大力发展虚拟资产经济，内地先从虚拟资产最容易引发的严重犯罪作出回应。在此背景下，U商和普通投资者都应提高法律意识，确保交易合规，避免陷入法律风险。</w:t>
      </w:r>
    </w:p>
    <w:p>
      <w:pPr>
        <w:pStyle w:val="Heading2"/>
      </w:pPr>
      <w:r>
        <w:t>区块链应用</w:t>
      </w:r>
    </w:p>
    <w:p>
      <w:r>
        <w:t>▌</w:t>
      </w:r>
      <w:r>
        <w:t>Sui流动性协议DeepBook发布V3测试网</w:t>
      </w:r>
    </w:p>
    <w:p>
      <w:r>
        <w:t>8月23日消息，Sui流动性协议DeepBook发布V3测试网，其中交易Gas成本降低了60%，允许做市商和交易者在池之间共享流动性，并引入DEEP代币，允许用户获得费用折扣、做市商激励和治理功能。V3测试网将运行两周，参与测试网的用户可以获得激励。</w:t>
      </w:r>
    </w:p>
    <w:p>
      <w:r>
        <w:t>▌</w:t>
      </w:r>
      <w:r>
        <w:t>Gate.io与EVG达成战略合作，推动Web3技术全球应用</w:t>
      </w:r>
    </w:p>
    <w:p>
      <w:r>
        <w:t xml:space="preserve">8月23日消息，据官方消息，全球领先的加密货币交易所Gate.io宣布与Web3运营集团Everest Ventures Group（EVG）达成战略合作，旨在加速Web3技术在全球市场的应用与发展。此次合作将利用Gate.io的平台资源和全球用户群体，为EVG生态系统中的优质项目开拓市场，进一步推动区块链技术的创新和普及。 </w:t>
        <w:br/>
        <w:t xml:space="preserve">Gate.io创始人兼CEO韩林博士表示，此次合作将加速具有全球潜力的Web3项目的成长，期待与EVG携手打造一个惠及全球用户的生态系统。EVG联合创始人兼CEO Allen Ng表示，与Gate.io的合作将为其下一代消费产品进入全球市场提供重要支持，助力Web3技术的全面推广。  </w:t>
      </w:r>
    </w:p>
    <w:p>
      <w:r>
        <w:t>Cosmos在X平台宣布，以太坊二层网络Starknet与Cosmos Interchain集成，通过集成Starknet将实现跨不同L2和L1的应用程序可组合性，从而访问最广泛的链上生态系统。</w:t>
      </w:r>
    </w:p>
    <w:p>
      <w:pPr>
        <w:pStyle w:val="Heading2"/>
      </w:pPr>
      <w:r>
        <w:t>加密货币</w:t>
      </w:r>
    </w:p>
    <w:p>
      <w:r>
        <w:t>▌</w:t>
      </w:r>
      <w:r>
        <w:t>以太坊现货ETF昨日总净流出87.46万美元，持续6日净流出</w:t>
      </w:r>
    </w:p>
    <w:p>
      <w:r>
        <w:t xml:space="preserve">8月23日消息，据SoSoValue数据，昨日（美东时间8月22日）以太坊现货ETF总净流出87.46万美元。昨日 </w:t>
        <w:br/>
        <w:t xml:space="preserve">灰度（Grayscale）以太坊信托ETF ETHE单日净流出1984.27万美元，目前ETHE历史净流出为25.23亿美元。 </w:t>
        <w:br/>
        <w:t xml:space="preserve">灰度（Grayscale）以太坊迷你信托ETF ETH单日净流入368.37万美元，目前灰度以太坊迷你信托ETH历史总净流入为2.36亿美元。 </w:t>
        <w:br/>
        <w:t xml:space="preserve">昨日单日净流入最多的以太坊现货ETF为富达（Fidelity）ETFF ETH，单日净流入为1433.03万美元，目前FETH历史总净流入达3.90亿美元。 </w:t>
        <w:br/>
        <w:t>其次为灰度（Grayscale）ETF ETH，单日净流入为368.37万美元，目前ETH历史总净流入达2.36亿美元。</w:t>
      </w:r>
    </w:p>
    <w:p>
      <w:r>
        <w:t>▌</w:t>
      </w:r>
      <w:r>
        <w:t>AVAX突破26美元</w:t>
      </w:r>
    </w:p>
    <w:p>
      <w:r>
        <w:t>行情显示，AVAX突破26美元，现报26.01美元，24小时涨幅达到11.82%，行情波动较大，请做好风险控制。</w:t>
      </w:r>
    </w:p>
    <w:p>
      <w:r>
        <w:t>▌</w:t>
      </w:r>
      <w:r>
        <w:t>区块链协会和DeFi教育基金警告称，SEC的合并审计跟踪存在隐私问题</w:t>
      </w:r>
    </w:p>
    <w:p>
      <w:r>
        <w:t xml:space="preserve">区块链协会和 DeFi 教育基金在提交的法庭之友陈述中表示，SEC 的合并审计跟踪（CAT）存在隐私问题。在金融危机后，美国证券交易委员会于 2012 年通过了第 613 号规则，要求国家证券交易所和金融业监管局维护合并审计跟踪（CAT）。该组织表示，CAT 将把“区块链变成一个庞大且完全去匿名化的存储库，政府可以随意搜索，而无需出示任何理由来获得搜查令”。 </w:t>
        <w:br/>
        <w:t>该组织还警告称，CAT 数据库可能容易受到黑客攻击，简报称：“更糟糕的是，提交给 CAT 数据库的用户数据很有可能通过意外或恶意攻击泄露给外部各方。尽管各组织在网络安全方面的投入比以往任何时候都多，但数据泄露事件仍在急剧增加”。</w:t>
      </w:r>
    </w:p>
    <w:p>
      <w:r/>
    </w:p>
    <w:p>
      <w:r>
        <w:t xml:space="preserve">针对 The Block 关于孙宇晨从 USDD 中撤走 BTC 抵押品的报道，孙宇晨于 X 平台发文回应：“USDD 是一个去中心化的稳定币协议，与任何人的名字无关，就像中本聪创造了比特币，但比特币并不属于中本聪。” </w:t>
        <w:br/>
        <w:t>此前消息，Tron DAO Reserve 周三撤回了约 7.5 亿美元价值的比特币，这些比特币此前用于支持 USDD 稳定币。Tron 创始人 Justin Sun 表示用户无需担心，解释称此举是为了提高资本效率，因为 USDD 之前的长期抵押率超过 300%。</w:t>
      </w:r>
    </w:p>
    <w:p>
      <w:pPr>
        <w:pStyle w:val="Heading2"/>
      </w:pPr>
      <w:r>
        <w:t>重要经济动态</w:t>
      </w:r>
    </w:p>
    <w:p>
      <w:r>
        <w:t>▌</w:t>
      </w:r>
      <w:r>
        <w:t>美联储古尔斯比：降息所需的所有条件都已满足</w:t>
      </w:r>
    </w:p>
    <w:p>
      <w:r>
        <w:t>美联储古尔斯比表示，支持美联储开始关注就业市场；通胀正处于回到2%的路径上；政策目前处于整个加息周期中最紧缩的时刻；美联储的预测显示对降息的广泛支持；降息所需的所有条件都已满足；几乎所有指标显示就业市场正在降温；不希望就美联储的利率决定提供明确的指引；不认为通胀会停留在2%以上。</w:t>
      </w:r>
    </w:p>
    <w:p>
      <w:r>
        <w:t>▌</w:t>
      </w:r>
      <w:r>
        <w:t>机构：鲍威尔虽暗示降息，投资者仍需谨慎</w:t>
      </w:r>
    </w:p>
    <w:p>
      <w:r>
        <w:t>独立顾问联盟的Chris Zaccarelli在一份报告中表示，美联储主席鲍威尔在杰克逊霍尔会议发表的“平衡而坦率”的讲话，为9月份降息25个基点铺平了道路，并“为必要时进一步降息敞开了大门”。他认为现在说经济软着陆还为时过早，并建议投资者“在投资上采取平衡的方法，既不要为衰退可能即将到来做准备，也不要追求风险并因为美联储将在不到一个月内降息而变得自满。</w:t>
      </w:r>
    </w:p>
    <w:p>
      <w:r>
        <w:t>▌</w:t>
      </w:r>
      <w:r>
        <w:t>美股三大指数集体收涨</w:t>
      </w:r>
    </w:p>
    <w:p>
      <w:r>
        <w:t>美股三大指数集体收涨，道指涨1.14%，纳指涨1.47%，标普500指数涨1.15%，热门科技股普涨，英伟达、特斯拉涨超4%</w:t>
      </w:r>
    </w:p>
    <w:p>
      <w:pPr>
        <w:pStyle w:val="Heading2"/>
      </w:pPr>
      <w:r>
        <w:t>百科</w:t>
      </w:r>
    </w:p>
    <w:p>
      <w:r>
        <w:t>▌</w:t>
      </w:r>
      <w:r>
        <w:t>什么是委托权益证明 (DPoS)？</w:t>
      </w:r>
    </w:p>
    <w:p>
      <w:r>
        <w:t>DPoS 是权益证明 (PoS) 共识机制的演变，旨在提供增强的可扩展性、效率和民主治理。Daniel Larimer 在 2014 年提出了 DPoS 概念，作为传统 PoS 共识机制的增强，旨在提高效率和可扩展性。 Larimer 首先在 Bitcointalk 论坛帖子中分享了他的愿景，这导致了 DPoS 的实际实施以及 2015 年BitShares的推出。这标志着 DPoS 在区块链技术中的开始，为其在 Steem 和 Eos 等其他项目中的采用奠定了基础。尤其是Eos，利用共识机制在2017年进行了加密货币行业最大的首次代币发行（ICO）之一，引起了对DPoS的高度关注，凸显了DPoS在实现高性能和去中心化治理方面的潜力。</w:t>
      </w:r>
    </w:p>
    <w:p>
      <w:r>
        <w:t>免责声明：本站作为区块链资讯平台，所发布的文章内容仅供信息参考，不作为实际投资建议。请大家树立正确投资理念，务必提高风险意识。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