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一周精选丨《黑神话·悟空》火爆全球；比特币震荡，合约季到来；比特币再质押协议Babylon质押主网上线</w:t>
      </w:r>
    </w:p>
    <w:p>
      <w:r>
        <w:t>PANews编者按：</w:t>
      </w:r>
      <w:r>
        <w:t>PANews精选了一周的优质内容，帮助大家利用周末时间查漏补缺，点击标题即可阅读。</w:t>
      </w:r>
    </w:p>
    <w:p>
      <w:pPr>
        <w:pStyle w:val="Heading3"/>
      </w:pPr>
      <w:r>
        <w:t>宏观视角</w:t>
      </w:r>
    </w:p>
    <w:p>
      <w:r>
        <w:t>以太坊上涨动力不足？ETF上市首月净流出超4亿美元，链上多数指标持续低迷</w:t>
      </w:r>
    </w:p>
    <w:p>
      <w:r>
        <w:t>眼下，以太坊现货ETF遭遇资金大幅外流的同时，ETH价格弱势下行、交易活动低迷等多重疲软态势令市场对以太坊信心不断受挫。</w:t>
      </w:r>
    </w:p>
    <w:p>
      <w:r>
        <w:t>逃出“资本的五指山”，这才是我们吹爆《黑神话·悟空》的原因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