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灰度正在押注哪些加密资产？</w:t>
      </w:r>
    </w:p>
    <w:p>
      <w:r>
        <w:t>作者：Jun，Bankless</w:t>
      </w:r>
    </w:p>
    <w:p>
      <w:r>
        <w:t>编译：Weizhi，BlockBeats</w:t>
      </w:r>
    </w:p>
    <w:p>
      <w:r>
        <w:t>作为加密资产管理领域的老牌机构，Grayscale 最近一直非常活跃。</w:t>
      </w:r>
    </w:p>
    <w:p>
      <w:r>
        <w:t>每当 Grayscale 宣布为某种资产推出新的信托基金，市场往往会反应不一。对于某些人来说，这就像一把双刃剑：有些人认为这是市场过度饱和的信号，而另一些人则视其为新的希望灯塔。</w:t>
      </w:r>
    </w:p>
    <w:p>
      <w:r>
        <w:t>有些人可能将这一推出解读为该资产市场已接近饱和，或者至少在加密货币领域的上升空间有限。另一方面，这也是来自加密领域主要玩家的一种认可印记，可能为该资产带来合法性，吸引机构投资者，并至少提升媒体关注度。</w:t>
      </w:r>
    </w:p>
    <w:p>
      <w:r>
        <w:t>Grayscale 最近加快了新投资产品的推出速度，这表明他们坚信当下正处于加密牛市的中盘阶段，而这一牛市的推动力包括：比特币 ETF 的资金流入、期待已久的以太坊 ETF 的推出、稳定币采用率的增加，以及 DeFi 总锁仓量（TVL）的稳定增长。</w:t>
      </w:r>
    </w:p>
    <w:p>
      <w:r>
        <w:t>作为行业中的一位低调巨头，投资者们继续密切关注 Grayscale 的投资动向，以判断他们对行业未来走向的看法。本轮周期中，哪些资产引起了他们的注意？让我们一探究竟。</w:t>
      </w:r>
    </w:p>
    <w:p>
      <w:pPr>
        <w:pStyle w:val="Heading3"/>
      </w:pPr>
      <w:r>
        <w:t>Grayscale 去中心化 AI 基金（FIL、NEAR、RNDR、LPT、TAO）</w:t>
      </w:r>
    </w:p>
    <w:p>
      <w:r>
        <w:t>Grayscale 去中心化 AI 基金是首个仅投资于去中心化 AI 协议原生代币的基金。目前该基金包括 Filecoin、Near、Render、Livepeer 和 Bittensor。</w:t>
      </w:r>
    </w:p>
    <w:p>
      <w:r>
        <w:t>Grayscale 指出，人们担忧未来将由中心化的 AI 主导，而加密技术有望创建一个更公平透明的生态系统。他们相信，尽管加密与 AI 的结合仍处于早期阶段，但前景广阔。通过利用加密的力量，我们可以构建一个更公平、透明且值得信赖的 AI 生态系统。</w:t>
      </w:r>
    </w:p>
    <w:p>
      <w:pPr>
        <w:pStyle w:val="Heading3"/>
      </w:pPr>
      <w:r>
        <w:t>Grayscale 动态收益基金（SOL、CBETH、NEAR 等）</w:t>
      </w:r>
    </w:p>
    <w:p>
      <w:r>
        <w:t>Grayscale 动态收益基金（GDIF）旨在利用 SOL、ETH、NEAR 等代币日益增长的质押奖励，最大化回报率。该基金通过战略性地分配资本于具有吸引力的质押收益的代币，从而最大化收益。</w:t>
      </w:r>
    </w:p>
    <w:p>
      <w:r>
        <w:t>Grayscale 以其多元化的加密投资方式而闻名。尽管他们通常在各个行业中进行多元化投资，但 GDIF 标志着一个新的前沿：跨越不同类型的代币进行多元化。这为投资者提供了除基础代币上涨潜力之外的独特收益机会。</w:t>
      </w:r>
    </w:p>
    <w:p>
      <w:pPr>
        <w:pStyle w:val="Heading3"/>
      </w:pPr>
      <w:r>
        <w:t>其他信托基金</w:t>
      </w:r>
    </w:p>
    <w:p>
      <w:r>
        <w:t>Grayscale NEAR 信托（NEAR）</w:t>
      </w:r>
    </w:p>
    <w:p>
      <w:r>
        <w:t>Grayscale 认为 NEAR 是加密领域的一颗耀眼明星，因其对 AI 和链抽象化的战略聚焦而脱颖而出。NEAR 对用户拥有的 AI 的愿景非常宏大，但其活跃的开发者社区、不断增长的用户基础以及充足的资金支持，使其有能力实现这一目标。随着全球对 AI 的接受度不断提升，NEAR 很可能成为开发者和用户的首选平台。</w:t>
      </w:r>
    </w:p>
    <w:p>
      <w:r>
        <w:t>Grayscale Stacks 信托（STX）</w:t>
      </w:r>
    </w:p>
    <w:p>
      <w:r>
        <w:t>Stacks 是 Grayscale 对比特币二层（L2）领域的押注。Stacks 通过在比特币之上构建一个支持智能合约的 L2 解决方案，解决了比特币的可扩展性和功能性挑战。这种方法允许开发者在比特币区块链之上构建各种应用程序。</w:t>
      </w:r>
    </w:p>
    <w:p>
      <w:r>
        <w:t>随着比特币生态系统的不断发展以及更多 DeFi 活动的加入，对可扩展性和降低成本的需求将变得更加迫切，而 Stacks 提供了解决这一问题的方案。</w:t>
      </w:r>
    </w:p>
    <w:p>
      <w:r>
        <w:t>Grayscale MakerDAO 信托</w:t>
      </w:r>
    </w:p>
    <w:p>
      <w:r>
        <w:t>MakerDAO 是 DeFi 领域的元老级项目，MKR 是其原生治理代币，是参与该生态系统的关键。Grayscale MakerDAO 信托的推出正值人们对蓝筹 DeFi 项目及其代币的兴趣再次高涨之际。</w:t>
      </w:r>
    </w:p>
    <w:p>
      <w:r>
        <w:t>Grayscale 认为，MKR 为投资者提供了参与 MakerDAO 生态系统内多元化机会的渠道，这些机会包括链上信用协议、稳定币、现实世界资产等。</w:t>
      </w:r>
    </w:p>
    <w:p>
      <w:r>
        <w:t>Grayscale Bittensor 信托（TAO）</w:t>
      </w:r>
    </w:p>
    <w:p>
      <w:r>
        <w:t>Bittensor 的愿景是创建一个 AI 不再是少数公司手中的工具，而是一个全民共享的资源。它旨在创建一个「AI 互联网」，让所有人都能参与并从 AI 模型中受益。TAO 鼓励参与者通过提供奖励来验证模型和运行 AI 计算，从而为网络做出贡献。</w:t>
      </w:r>
    </w:p>
    <w:p>
      <w:r>
        <w:t>随着大型科技公司之间的 AI 竞赛日益激烈，Grayscale 认为 Bittensor 提供了一种鼓励更广泛参与和多元化思路的 AI 开发替代方案。</w:t>
      </w:r>
    </w:p>
    <w:p>
      <w:r>
        <w:t>Grayscale SUI 信托（SUI）</w:t>
      </w:r>
    </w:p>
    <w:p>
      <w:r>
        <w:t>Sui 具有独特的区块链设计，优先考虑可扩展性和用户体验。它允许并行处理，能够同时处理多个交易。Sui 的竞争优势在于其专门开发的编程语言 Sui Move，这一语言简化了智能合约的开发和执行。</w:t>
      </w:r>
    </w:p>
    <w:p>
      <w:r>
        <w:t>随着加密领域对区块空间和更快执行速度的需求增加，Grayscale 认为 Sui 打开了一扇新门，迎来了此前因现有区块链基础设施限制而无法实现的去中心化应用的新时代。</w:t>
      </w:r>
    </w:p>
    <w:p>
      <w:pPr>
        <w:pStyle w:val="Heading3"/>
      </w:pPr>
      <w:r>
        <w:t>Grayscale 效应</w:t>
      </w:r>
    </w:p>
    <w:p>
      <w:r>
        <w:t>总体而言，Grayscale 信托的推出对特定资产的影响高度主观。这并不意味着该资产注定会取得巨大成功。以 Grayscale 的 Decentraland 信托（MANA）为例。</w:t>
      </w:r>
    </w:p>
    <w:p>
      <w:r>
        <w:t>关键点在于，Grayscale 对加密市场的看涨态度在其最近的产品发布中表现得非常明显。他们相信我们当前正处于牛市，并相应地进行布局。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