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Web3.0日报 | 特朗普愿意让马斯克加入内阁</w:t>
      </w:r>
    </w:p>
    <w:p>
      <w:pPr>
        <w:pStyle w:val="Heading2"/>
      </w:pPr>
      <w:r>
        <w:t>DeFi数据</w:t>
      </w:r>
    </w:p>
    <w:p>
      <w:r>
        <w:t>1.DeFi代币总市值：732.1亿美元</w:t>
      </w:r>
    </w:p>
    <w:p>
      <w:r/>
    </w:p>
    <w:p/>
    <w:p>
      <w:r>
        <w:drawing>
          <wp:inline xmlns:a="http://schemas.openxmlformats.org/drawingml/2006/main" xmlns:pic="http://schemas.openxmlformats.org/drawingml/2006/picture">
            <wp:extent cx="4572000" cy="25222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222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DeFi总市值 数据来源：coingecko</w:t>
      </w:r>
    </w:p>
    <w:p>
      <w:r>
        <w:t>2.过去24小时去中心化交易所的交易量35.89亿美元</w:t>
      </w:r>
    </w:p>
    <w:p>
      <w:r/>
    </w:p>
    <w:p>
      <w:r/>
    </w:p>
    <w:p>
      <w:r>
        <w:t>过去24小时去中心化交易所的交易量 数据来源：coingecko</w:t>
      </w:r>
    </w:p>
    <w:p>
      <w:r>
        <w:t>3.DeFi中锁定资产：871.57亿美元</w:t>
      </w:r>
    </w:p>
    <w:p>
      <w:r/>
    </w:p>
    <w:p>
      <w:r/>
    </w:p>
    <w:p>
      <w:r>
        <w:t>DeFi项目锁定资产前十排名及锁仓量 数据来源：defillama</w:t>
      </w:r>
    </w:p>
    <w:p>
      <w:pPr>
        <w:pStyle w:val="Heading2"/>
      </w:pPr>
      <w:r>
        <w:t>NFT数据</w:t>
      </w:r>
    </w:p>
    <w:p>
      <w:r>
        <w:t>1.NFT总市值：268.59亿美元</w:t>
      </w:r>
    </w:p>
    <w:p>
      <w:r/>
    </w:p>
    <w:p>
      <w:r/>
    </w:p>
    <w:p>
      <w:r>
        <w:t>NFT总市值、市值排名前十项目 数据来源：Coinmarketcap</w:t>
      </w:r>
    </w:p>
    <w:p>
      <w:r>
        <w:t>2.24小时NFT交易量：19.9亿</w:t>
      </w:r>
      <w:r>
        <w:t>美元</w:t>
      </w:r>
    </w:p>
    <w:p>
      <w:r/>
    </w:p>
    <w:p>
      <w:r/>
    </w:p>
    <w:p>
      <w:r>
        <w:t>NFT总市值、市值排名前十项目 数据来源：Coinmarketcap</w:t>
      </w:r>
    </w:p>
    <w:p>
      <w:r>
        <w:t>3.24小时内顶级NFT</w:t>
      </w:r>
    </w:p>
    <w:p>
      <w:r/>
    </w:p>
    <w:p>
      <w:r>
        <w:t>24小时内销售涨幅前十的NFT 数据来源：NFTGO</w:t>
      </w:r>
    </w:p>
    <w:p>
      <w:pPr>
        <w:pStyle w:val="Heading2"/>
      </w:pPr>
      <w:r>
        <w:t>头条</w:t>
      </w:r>
    </w:p>
    <w:p>
      <w:r>
        <w:t>特朗普：愿意让马斯克加入内阁</w:t>
      </w:r>
    </w:p>
    <w:p>
      <w:r>
        <w:t>本站报道，美国前总统特朗普表示，希望特斯拉CEO埃隆·马斯克能加入内阁，但马斯克忙于商业事务（无法加入）。</w:t>
      </w:r>
    </w:p>
    <w:p>
      <w:pPr>
        <w:pStyle w:val="Heading2"/>
      </w:pPr>
      <w:r>
        <w:t>DeFi热点</w:t>
      </w:r>
    </w:p>
    <w:p>
      <w:r>
        <w:t>1.Celsius破产管理人已向债权人分配超过25.3亿美元</w:t>
      </w:r>
    </w:p>
    <w:p>
      <w:r>
        <w:t xml:space="preserve">本站报道，Celsius破产管理人在其第一份付款状态报告中表示，已向大约251,000名债权人分配了超过25.3亿美元。这些付款以1月16日的价格以流动加密货币和现金支付。管理员在周一提交的法庭文件中表示，他们覆盖了加密货币贷方所有合格债权人的约三分之二，约占合格价值的93%。另有121,000名合格债权人的平均分配额约为1,500美元，但尚未成功领取分配。 </w:t>
        <w:br/>
        <w:t>文件称：“剩余债权人中约有64,000人的分配额低于100美元，约有41,000人的分配额在100至1,000美元之间。”“鉴于许多债权人所涉及的金额很小，他们可能没有动力采取成功索取分配所需的步骤。”</w:t>
      </w:r>
    </w:p>
    <w:p>
      <w:r>
        <w:t>2.Orderly Network：EVM系统升级已完成</w:t>
      </w:r>
    </w:p>
    <w:p>
      <w:r>
        <w:t>本站报道，Orderly Network在X平台发文确认，计划的EVM系统升级已完成，预计性能有所增强，用户可以恢复交易。</w:t>
      </w:r>
    </w:p>
    <w:p>
      <w:r>
        <w:t>3.AO测试网用户突破20万，消息发送量近5亿</w:t>
      </w:r>
    </w:p>
    <w:p>
      <w:r>
        <w:t>本站报道，基于Arweave的可扩展区块链网络AO于X宣布，截至2024年8月27日，AO测试网用户数已超过20万，发送消息总量接近5亿。</w:t>
      </w:r>
    </w:p>
    <w:p>
      <w:r>
        <w:t>4.Vitalik：以太坊 L1 的稳健性正在增强，L2愿意共同努力改善互操作性</w:t>
      </w:r>
    </w:p>
    <w:p>
      <w:r>
        <w:t xml:space="preserve">本站报道，以太坊创始人Vitalik Buterin发布推文称，以太坊L1稳健性正在提升，并指出L2项目间存在强烈合作意愿，以改善生态系统整体互操作性。 </w:t>
        <w:br/>
        <w:t xml:space="preserve">Vitalik表示，过去一年中，关于审查制度和中心化的担忧并未成真，情况反而有所改善。 </w:t>
        <w:br/>
        <w:t xml:space="preserve">他指出，"PoW是资产黄金标准"的说法正被证明是错误的，且审查交易的区块比例持续减少。路线图中的区块构建部分（"the Scourge"）也开始出现曙光，讨论主要集中在FOCIL+APS与BRAID之间。 </w:t>
        <w:br/>
        <w:t>Vitalik强调，对DeFi而言，首要任务是确保用户不会遭遇-100%的年化收益率。他认为，L1的稳健性（包括抗审查能力）和智能合约钱包的成功都对此有利。</w:t>
      </w:r>
    </w:p>
    <w:p>
      <w:r>
        <w:t>5.Terra：提案4818将成为实施的最后一次链升级，未来将由社区主导</w:t>
      </w:r>
    </w:p>
    <w:p>
      <w:r>
        <w:t xml:space="preserve">本站报道，Terra 表示，随着 Terraform Labs（TFL）开始逐步结束运营，提案 4818 将成为他们实施的最后一次链升级。根据 TFL 与美国证券交易委员会（SEC）达成的和解协议以及其提议的第 11 章破产计划的实施，TFL 将不再有能力支持未来的链升级。 </w:t>
        <w:br/>
        <w:t>Terra 表示，未来将寻求由社区驱动的倡议，如 Phoenix Directive 来接管 Terra 区块链的维护和运营责任。</w:t>
      </w:r>
    </w:p>
    <w:p>
      <w:r>
        <w:t>6.Aave提议部署新版GHO稳定模块，支持BlackRock BUIDL集成</w:t>
      </w:r>
    </w:p>
    <w:p>
      <w:r>
        <w:t>本站报道，Aave Labs 提议构建和部署新版 GHO 稳定模块（GSM），以支持储备分配和管理功能，实现第三方集成，特别是支持与 BlackRock BUIDL 基础设施的集成。该提案旨在提高 GSM 的资本效率，同时保持 USDC 作为 GHO 背书的高标准。新 GSM 将支持 1：1 固定比例的 USDC 和 GHO 互换，并利用 USDC 盈余铸造 BUIDL 代币。据悉，BUIDL 是 BlackRock 在以太坊网络上部署的产品，为链上参与者提供即时流动性，目前发行量超过 5 亿美元。</w:t>
      </w:r>
    </w:p>
    <w:p>
      <w:pPr>
        <w:pStyle w:val="Heading2"/>
      </w:pPr>
      <w:r>
        <w:t>免责声明：本站作为区块链资讯平台，所发布的文章内容仅供信息参考，不作为实际投资建议。请大家树立正确投资理念，务必提高风险意识。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