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再获千万美元融资，bitSmiley如何成为BTCFi稳定币基础设施？</w:t>
      </w:r>
    </w:p>
    <w:p>
      <w:r>
        <w:t>作者：Haotian</w:t>
      </w:r>
    </w:p>
    <w:p>
      <w:r>
        <w:t>看到@bitsmiley_labs 又拿到了 $10M 的新融资，以加速其落地比特币上新稳定币 bitUSD 的愿景。那么，这个被大家亲切称为「笑脸」的 BTCFi 稳定币项目到底要做啥？其核心技术框架又如何？BTCFi 市场为何受市场一致热捧？接下来，谈谈我的看法：</w:t>
      </w:r>
    </w:p>
    <w:p>
      <w:r>
        <w:t>1）以太坊 DeFi 生态源于 MakerDAO 的 DAI 算法稳定币，最终发酵于 Compound 借贷平台治理激励，引燃了一波 DeFi 之夏。bitSmiley #SMILE 为了抢夺 BTCFi 市场的先发优势，组合 MakerDAO（DAI）和 Compound（Lending）等 DeFi 基础设施，分别推出了三大主要组件：</w:t>
      </w:r>
    </w:p>
    <w:p>
      <w:r>
        <w:t>1、bitUSD：超额抵押稳定币协议，对标 DAI，用户可以向 bitSmiley Treasury 存入比特币铸造 bitUSD；采用了 bitRC20 标准会保持高度透明，同时与 ZetaChain 合作原生跨链桥，确保全链环境流通；</w:t>
      </w:r>
    </w:p>
    <w:p>
      <w:r>
        <w:t>2、bitLending：原生去信任借贷协议，采用点对点模式原子交换技术来实现交易撮合，同时引入了保险系统以优化传统借贷的清算流程不足；</w:t>
      </w:r>
    </w:p>
    <w:p>
      <w:r>
        <w:t>3、Credit Default Swaps（CDS）：创新衍生品协议，集成了 NFT 切割 CDS，同时使用聚合竞价的方法，以提升 CDS 市场的效率和公平。</w:t>
      </w:r>
    </w:p>
    <w:p>
      <w:r>
        <w:t>2）其产品组件具体如何得进一步体验才能评价。以点带面，我主要说两个核心技术点：</w:t>
      </w:r>
    </w:p>
    <w:p>
      <w:r>
        <w:t>1、与@zetablockchain 合作原生跨链：ZetaChain 是一种建立在 Cosmos SDK 和 Tendermint PBFT 共识引擎上的 POS 区块链，由特定链嵌入全链环境中提供一系列的互操作性操作。由于比特币没有智能合约，可以部署轻节点并基于 ECDSA 签名算法进行多方签名操作，ZetaChain 只需要对比特币上的 UTXO 进行有效追踪和管理就可以实现安全跨链。</w:t>
      </w:r>
    </w:p>
    <w:p>
      <w:r>
        <w:t>除此之外，由于 ZetaChain 是面向全链环境的 Ominichain 智能合约，在解决掉和比特币网络之间的跨链问题后，理论上可以借助其全链流通环境实现对全链资产的透明化管理。</w:t>
      </w:r>
    </w:p>
    <w:p>
      <w:r>
        <w:t>2、bitRC20 标准，看起来怎么像 BRC20 铭文标准，没错，bitUSD 借鉴了铭文这种把资产发行在比特币主网的资产范式。当用户要超额抵押 BTC，可以先向 bitSmiley 官方桥桥接资产。bitSmiley layer2 链确定用户抵押资产后进行共识验证后会向比特币主网传递铸造 bitUSD 的信息。</w:t>
      </w:r>
    </w:p>
    <w:p>
      <w:r>
        <w:t>由于传统 BRC20 铭文铸造都需要提前预设部署总量，因此 bitRC20 则针对稳定币场景新增了 Mint 和 Burn 的操作，以满足稳定币需要动态调整供应量的需要。这其实就是 indexer 索引器的意义，这种变通的铭文发行方式更容易得到项目的实际应用和赋能。</w:t>
      </w:r>
    </w:p>
    <w:p>
      <w:r>
        <w:t>以上。</w:t>
      </w:r>
    </w:p>
    <w:p>
      <w:r>
        <w:t>最终，不难看出，为何主流资本都在跑步进场 BTCFi，像 bitSmiley 这样的 DeFi 基建提供商也都抢着布局。</w:t>
      </w:r>
    </w:p>
    <w:p>
      <w:r>
        <w:t>一方面，大家盯着 BTCFi 市场庞大的资产增量空间，以现在 BTC 网络总锁仓 16 亿美元来计算，仅占 BTC 总市值的 0.14%，相比 ETH、Solana 等网络资产锁定率还有 50-100 倍的增长空间，其资金来源通道不局限在链上，还有庞大 BTC+ETH ETF 基金背后的链下需求；</w:t>
      </w:r>
    </w:p>
    <w:p>
      <w:r>
        <w:t>另一方面，我觉得掌握核心 BTC 资产的稳定币、借贷、衍生品等落地应用战略卡位后，其应用场景会辐射整个全链环境，会对全链环境的 DeFi 模式和用户都能起到盘活再引领创新的效用。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