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OKX宣布渣打银行为第三方机构托管合作伙伴</w:t>
      </w:r>
    </w:p>
    <w:p>
      <w:r>
        <w:t>10 月 29 日，全球领先的数字货币交易与Web 3科技公司OKX宣布，宣布指定渣打银行为其全球机构业务的第三方数字资产托管机构。</w:t>
      </w:r>
      <w:r>
        <w:t>渣打银行是一家连接全球重要市场的国际领先跨境银行。</w:t>
      </w:r>
    </w:p>
    <w:p>
      <w:r>
        <w:t>OKX为机构用户提供全面服务，涵盖进阶交易功能、强大的风险管理工具和升级版托管解决方案。此次与渣打银行签订托管协议，是对这些服务的有力补充。依托渣打银行丰富的全球银行业务经验和严格的风险管理体系，OKX旨在为机构投资者提供更多安全可靠的托管方案。</w:t>
      </w:r>
    </w:p>
    <w:p>
      <w:r>
        <w:t>OKX全球首席商务官 Lennix Lai 表示：</w:t>
      </w:r>
      <w:r>
        <w:t>“我们选择渣打银行作为机构托管合作伙伴，旨在优化服务并推动数字资产与传统金融生态的深度融合。渣打银行丰富的全球银行业务经验和对安全的坚定承诺，与OKX致力于提供卓越数字货币服务的目标高度契合，有助于提升机构客户对数字资产管理的信心。”</w:t>
      </w:r>
    </w:p>
    <w:p>
      <w:r>
        <w:t>渣打银行全球融资与证券服务负责人 Margaret Harwood-Jones 表示：“</w:t>
      </w:r>
      <w:r>
        <w:t>我们致力于提供符合最高安全和合规标准的托管服务。作为OKX的第三方托管机构，我们能够将自身的专业知识应用于不断发展的数字货币领域，为机构投资者保驾护航。”</w:t>
      </w:r>
    </w:p>
    <w:p>
      <w:r>
        <w:t>此次合作预计将吸引更多机构进入数字资产市场，为全球机构创造一个更加成熟的环境。这与近期发布的研究简报《数字资产作为机构投资者的新选择：市场动态、机遇与挑战》(Digital assets as the new alternative for institutional investors: market dynamics, opportunities and challenges)的发现相符。该报告由OKX委托《Economist Impact》撰写，指出机构投资者认为数字资产是一个不容错过的机会。此外，报告还发现，在所有使用数字资产的传统和数字货币对冲基金中，80% 的基金选择第三方托管机构，显示出对交易执行与资产托管职责分离的强烈需求。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