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OKX Ventures Q3季报：仍聚焦比特币、以太坊、AI等主流生态</w:t>
      </w:r>
    </w:p>
    <w:p>
      <w:pPr>
        <w:pStyle w:val="Heading2"/>
      </w:pPr>
      <w:r>
        <w:t>一、关于行业洞察</w:t>
      </w:r>
    </w:p>
    <w:p>
      <w:r>
        <w:t>宏观调控方面，美联储降息带来宏观层面利好，各大</w:t>
      </w:r>
      <w:r>
        <w:t xml:space="preserve"> DeFi </w:t>
      </w:r>
      <w:r>
        <w:t>协议因此获益。</w:t>
      </w:r>
      <w:r>
        <w:t>美联储在 9 月大幅降息 50 个基点，将联邦基金利率降至 4.75% 至 5% 之间，带来了短期波动，但比特币的长期前景依然稳健。随着全球金融体系对货币扩张的依赖加深，BTC 作为独立于央行政策的全球资产，吸引力持续增强，现货ETF累计净流入213亿美元。</w:t>
      </w:r>
    </w:p>
    <w:p>
      <w:r>
        <w:t>以太坊主网数据保持稳定，</w:t>
      </w:r>
      <w:r>
        <w:t xml:space="preserve">Pectra </w:t>
      </w:r>
      <w:r>
        <w:t>升级预期带来网络的功能、安全性和效率的提升。</w:t>
      </w:r>
      <w:r>
        <w:t>链上平均日活跃用户48万，日交易120万笔，各大借贷平台的 USDC、USDT、DAI 综合使用率飙升至 87%，达到了 2024 年 6 月下旬以来的最高水平。随着DeFi收益率的上升，降息有望重启加密信贷市场并推动链上活动的蓬勃发展。</w:t>
      </w:r>
    </w:p>
    <w:p>
      <w:r>
        <w:t>公链生态层面，以</w:t>
      </w:r>
      <w:r>
        <w:t xml:space="preserve"> Sui </w:t>
      </w:r>
      <w:r>
        <w:t>为代表的各大公链数据表现亮眼，更多创新有待发掘。</w:t>
      </w:r>
      <w:r>
        <w:t>TVL 突破 14 亿美元，DEX 日交易量达 1.8 亿美元，且每日交易量和活跃地址数均创新高。NAVI Protocol为首的流动性协议TVL超5亿美元，头部 DEX Cetus 位居全链 DEX 交易量 Top 10，单周交易量突破10亿美元。SUI 生态主流资产交易量稳步增长，Memecoin和社区资产的交易量也大幅激增。因此，我们也看好 Monad 为代表的并行区块链及其生态的项目 aPriori。</w:t>
      </w:r>
    </w:p>
    <w:p>
      <w:r>
        <w:t>Meme “</w:t>
      </w:r>
      <w:r>
        <w:t>超级周期</w:t>
      </w:r>
      <w:r>
        <w:t xml:space="preserve">” </w:t>
      </w:r>
      <w:r>
        <w:t>概念带来更多注意力，</w:t>
      </w:r>
      <w:r>
        <w:t xml:space="preserve"> </w:t>
      </w:r>
      <w:r>
        <w:t>为</w:t>
      </w:r>
      <w:r>
        <w:t xml:space="preserve"> AI </w:t>
      </w:r>
      <w:r>
        <w:t>发展带来新的变量，</w:t>
      </w:r>
      <w:r>
        <w:t xml:space="preserve"> </w:t>
      </w:r>
      <w:r>
        <w:t>娱乐化</w:t>
      </w:r>
      <w:r>
        <w:t xml:space="preserve"> IP </w:t>
      </w:r>
      <w:r>
        <w:t>吸引更多注意力。</w:t>
      </w:r>
      <w:r>
        <w:t>当前 AI Memecoin 的总市值已超过 20 亿美元，Memecoin平均交易量与去年相比增长了 5 倍以上。Terminals of Truth 和 GOAT 的热潮带来了 AI 生成内容、模因文化和投机市场行为的新用例，同时带动了Solana单日超过450万笔链上交易以及日活跃用户690万的高峰，与Meme强相关的DEX创下费用新高。</w:t>
      </w:r>
    </w:p>
    <w:p>
      <w:pPr>
        <w:pStyle w:val="Heading2"/>
      </w:pPr>
      <w:r>
        <w:t>二、OKX Ventures Q3 投资项目一览</w:t>
      </w:r>
    </w:p>
    <w:p>
      <w:r>
        <w:t xml:space="preserve">OKX Ventures </w:t>
      </w:r>
      <w:r>
        <w:t>在</w:t>
      </w:r>
      <w:r>
        <w:t xml:space="preserve"> Q3 </w:t>
      </w:r>
      <w:r>
        <w:t>季度的投资赛道覆盖比特币生态、以太坊等一层网络以及</w:t>
      </w:r>
      <w:r>
        <w:t>AI</w:t>
      </w:r>
      <w:r>
        <w:t>、区块链数据平台等方向，参与投资</w:t>
      </w:r>
      <w:r>
        <w:t>zkLink</w:t>
      </w:r>
      <w:r>
        <w:t>、</w:t>
      </w:r>
      <w:r>
        <w:t>Monad</w:t>
      </w:r>
      <w:r>
        <w:t>、</w:t>
      </w:r>
      <w:r>
        <w:t>aPriori</w:t>
      </w:r>
      <w:r>
        <w:t>、</w:t>
      </w:r>
      <w:r>
        <w:t>Space and Time</w:t>
      </w:r>
      <w:r>
        <w:t>、</w:t>
      </w:r>
      <w:r>
        <w:t>Prodia</w:t>
      </w:r>
      <w:r>
        <w:t>等项目。以下是项目相关情况。</w:t>
      </w:r>
    </w:p>
    <w:p/>
    <w:p>
      <w:r>
        <w:drawing>
          <wp:inline xmlns:a="http://schemas.openxmlformats.org/drawingml/2006/main" xmlns:pic="http://schemas.openxmlformats.org/drawingml/2006/picture">
            <wp:extent cx="4572000" cy="2537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37460"/>
                    </a:xfrm>
                    <a:prstGeom prst="rect"/>
                  </pic:spPr>
                </pic:pic>
              </a:graphicData>
            </a:graphic>
          </wp:inline>
        </w:drawing>
      </w:r>
    </w:p>
    <w:p>
      <w:r>
        <w:t>1</w:t>
      </w:r>
      <w:r>
        <w:t>、</w:t>
      </w:r>
      <w:r>
        <w:t>zkLink</w:t>
      </w:r>
    </w:p>
    <w:p>
      <w:r>
        <w:t>zkLink 是一个基于零知识证明（ZKP）技术的多链去中心化金融（DeFi）基础设施，旨在解决当前区块链生态系统中流动性分散和跨链交易成本高的问题。它通过构建一个聚合的 Layer 3 zkEVM 网络（zkLink Nova），实现了以太坊及其 Layer 2 网络之间的无缝连接和流动性聚合。</w:t>
      </w:r>
    </w:p>
    <w:p>
      <w:r>
        <w:t>作为第一个聚合的 Layer 3 zkEVM 网络，zkLink Nova 解决了以太坊 L2 上的流动性碎片化问题，允许 DApp 在多个 L2 上无缝部署。为高性能 ZK 应用提供定制化的扩展引擎，支持多种应用场景，包括现货交易、衍生品交易和 NFT 交易。</w:t>
      </w:r>
    </w:p>
    <w:p>
      <w:r>
        <w:t>该项目主要解决的问题：</w:t>
      </w:r>
    </w:p>
    <w:p>
      <w:r>
        <w:t>跨链流动性聚合，无缝多链交互：zkLink 通过其协议连接不同的 L1 和 L2 网络，简化了跨链交易流程，使用户可以在不同区块链上自由交易，无需频繁切换网络或钱包。</w:t>
      </w:r>
    </w:p>
    <w:p>
      <w:r>
        <w:t>丰富的生态项目：zkLink 已与多个项目合作，形成了一个丰富的生态网络，吸引了大量用户参与其 DeFi 活动。</w:t>
      </w:r>
    </w:p>
    <w:p>
      <w:r>
        <w:t>创新技术解决方案：结合 ZK-Rollup 和预言机网络，zkLink 提供了一种高效且安全的跨链交互机制，极大提高了生态整合效率。</w:t>
      </w:r>
    </w:p>
    <w:p>
      <w:r>
        <w:t>提升用户体验，推动去中心化金融生态系统的发展，成为连接不同区块链的重要桥梁。</w:t>
      </w:r>
    </w:p>
    <w:p>
      <w:r>
        <w:t>2</w:t>
      </w:r>
      <w:r>
        <w:t>、</w:t>
      </w:r>
      <w:r>
        <w:t>Monad</w:t>
      </w:r>
    </w:p>
    <w:p>
      <w:r>
        <w:t>Monad 是一个1层区块链，旨在提供极高的性能和可扩展性。它支持每秒 10,000 次交易，具有 1 秒的区块时间和单次确认的最终性。Monad 兼容现有的以太坊虚拟机（EVM），允许开发者轻松迁移和使用现有的应用程序和库。</w:t>
      </w:r>
    </w:p>
    <w:p>
      <w:r>
        <w:t>Monad 对低硬件要求使得普通消费者级硬件即可运行节点，为去中心化提供了可行的路径。此外，MonadDB 的设计使得大部分状态存储在 SSD 而非 RAM 中，从而降低了节点运行成本并提高了可扩展性。</w:t>
      </w:r>
    </w:p>
    <w:p>
      <w:r>
        <w:t>项目特点：</w:t>
      </w:r>
    </w:p>
    <w:p>
      <w:r>
        <w:t>高性能：Monad 提供每秒 10,000 次交易，确保用户体验流畅。</w:t>
      </w:r>
    </w:p>
    <w:p>
      <w:r>
        <w:t>低费用：几乎为零的交易费用，使得应用程序能够极大地扩展。</w:t>
      </w:r>
    </w:p>
    <w:p>
      <w:r>
        <w:t>快速确认：1 秒的区块时间和单次确认机制，提升交易效率。</w:t>
      </w:r>
    </w:p>
    <w:p>
      <w:r>
        <w:t>EVM 兼容：100% EVM 兼容，支持现有以太坊生态系统中的应用程序。</w:t>
      </w:r>
    </w:p>
    <w:p>
      <w:r>
        <w:t>可扩展去中心化：低硬件要求使得更多用户能够参与网络，促进去中心化进程。</w:t>
      </w:r>
    </w:p>
    <w:p>
      <w:r>
        <w:t>创新执行模型：采用乐观并行执行和异步执行，有效提升交易处理能力。</w:t>
      </w:r>
    </w:p>
    <w:p>
      <w:r>
        <w:t>3</w:t>
      </w:r>
      <w:r>
        <w:t>、</w:t>
      </w:r>
      <w:r>
        <w:t>aPriori</w:t>
      </w:r>
    </w:p>
    <w:p>
      <w:r>
        <w:t>aPriori 是一个专为并行执行时代构建的 MEV基础设施和流动质押协议，原生实现于 Monad 平台。该项目旨在通过创新的区块空间拍卖机制，优化区块链交易的处理效率，从而减少 MEV 引发的垃圾交易行为。aPriori 通过确保区块生产者与网络目标保持一致，增强了用户体验和网络的整体效率。</w:t>
      </w:r>
    </w:p>
    <w:p>
      <w:r>
        <w:t>该项目主要解决的问题：</w:t>
      </w:r>
    </w:p>
    <w:p>
      <w:r>
        <w:t>区块空间拍卖：由于区块空间的有限性和区块生产者在交易排序中的垄断权，aPriori 引入了区块空间拍卖机制。这种机制通过竞争性出价，使得交易的真实经济价值得以透明化，从而提高了资源配置的效率。</w:t>
      </w:r>
    </w:p>
    <w:p>
      <w:r>
        <w:t>垃圾交易最小化：aPriori 的拍卖机制通过改变搜索者的主导策略，减少了 MEV 导致的垃圾交易现象。这一设计确保了交易执行的有序性和可预测性，提升了用户体验。</w:t>
      </w:r>
    </w:p>
    <w:p>
      <w:r>
        <w:t>激励兼容性：在后 MEV 时代，aPriori 的拍卖机制确保了激励兼容性，使得交易费用基于经济价值而非区块生产者的私有评估，从而优化用户体验。</w:t>
      </w:r>
    </w:p>
    <w:p>
      <w:r>
        <w:t>透明性与公平性：通过引入竞争性出价，aPriori 确保了交易处理过程的透明性，减少了不公平行为（如抢先交易）的可能性。</w:t>
      </w:r>
    </w:p>
    <w:p>
      <w:r>
        <w:t>4</w:t>
      </w:r>
      <w:r>
        <w:t>、</w:t>
      </w:r>
      <w:r>
        <w:t>Space and Time</w:t>
      </w:r>
    </w:p>
    <w:p>
      <w:r>
        <w:t>Space and Time 是一个去中心化的数据仓库，专为区块链应用而设计。该项目成立于2022年，旨在提供一个下一代数据平台，满足去中心化应用（dApps）、去中心化金融（DeFi）及其他需要强大分析能力的项目的需求。Space and Time 结合了企业级的 SQL 和 API，使用户能够在单个查询中无缝整合和分析链上和链下的数据。</w:t>
      </w:r>
    </w:p>
    <w:p>
      <w:r>
        <w:t>支持多链操作，允许用户跨多个区块链轻松访问和分析数据。通过引入 SQL 证明技术，Space and Time 确保了数据的安全性、完整性和透明度，同时不妥协性能。</w:t>
      </w:r>
    </w:p>
    <w:p>
      <w:r>
        <w:t>该项目的主要特点：</w:t>
      </w:r>
    </w:p>
    <w:p>
      <w:r>
        <w:t>去中心化架构：Space and Time 是首个 Web3 原生的数据仓库，完全去中心化，确保用户数据的安全和隐私。</w:t>
      </w:r>
    </w:p>
    <w:p>
      <w:r>
        <w:t>企业级 SQL 和 API：用户可以使用熟悉的 SQL 命令和工具进行查询和加载数据，简化了数据处理流程。</w:t>
      </w:r>
    </w:p>
    <w:p>
      <w:r>
        <w:t>多链支持：平台允许用户在多个区块链之间无缝访问和分析数据，增强了灵活性和可扩展性。</w:t>
      </w:r>
    </w:p>
    <w:p>
      <w:r>
        <w:t>SQL 证明技术：这一技术不仅保障了数据的安全性，还维护了其完整性和透明度，为用户提供信心。</w:t>
      </w:r>
    </w:p>
    <w:p>
      <w:r>
        <w:t>实时数据处理：支持高容量实时交易处理，同时利用列存储和 GPU 加速进行大规模数据集的分析。</w:t>
      </w:r>
    </w:p>
    <w:p>
      <w:r>
        <w:t>可定制的仪表盘：平台提供动态可视化功能，用户可以根据自身品牌需求定制仪表盘，并自动生成图表和可视化内容。</w:t>
      </w:r>
    </w:p>
    <w:p>
      <w:r>
        <w:t>5</w:t>
      </w:r>
      <w:r>
        <w:t>、</w:t>
      </w:r>
      <w:r>
        <w:t>Prodia</w:t>
      </w:r>
    </w:p>
    <w:p>
      <w:r>
        <w:t>Prodia 是一个专注于人工智能和分布式云计算的创新平台，旨在通过其强大的 API 提供图像和音乐生成服务。该平台利用先进的机器学习模型，特别是稳定扩散（Stable Diffusion）技术，将文本转换为高质量的图像。此外，Prodia 还构建了一个分布式图形处理单元（GPU）网络，以更低的成本提供高效的云计算服务，支持各种应用场景。Prodia 不仅为用户提供了先进的人工智能工具，还推动了云计算服务的创新与发展。</w:t>
      </w:r>
    </w:p>
    <w:p>
      <w:r>
        <w:t>该项目的主要特点：</w:t>
      </w:r>
    </w:p>
    <w:p>
      <w:r>
        <w:t>AI 内容生成能力：Prodia 提供多种模型，通过 API 实现文本到图像的高效转换，满足用户对高质量内容生成的需求。</w:t>
      </w:r>
    </w:p>
    <w:p>
      <w:r>
        <w:t>分布式云计算：利用分布式 GPU 网络，Prodia 能够以更低的成本提供强大的计算能力，适应不同规模的项目需求。</w:t>
      </w:r>
    </w:p>
    <w:p>
      <w:r>
        <w:t>多样化应用场景：该平台不仅适用于图像生成，还扩展到音乐生成等领域，为创作者提供更多灵活性和选择。</w:t>
      </w:r>
    </w:p>
    <w:p>
      <w:r>
        <w:t>用户友好的 API：Prodia 的 API 设计简洁易用，使开发者能够快速集成其功能，提升开发效率。</w:t>
      </w:r>
    </w:p>
    <w:p>
      <w:r>
        <w:t>Web3 基础设施：结合 Web3 技术，Prodia 提供去中心化的服务，增强了数据安全性和用户隐私保护。</w:t>
      </w:r>
    </w:p>
    <w:p>
      <w:pPr>
        <w:pStyle w:val="Heading2"/>
      </w:pPr>
      <w:r>
        <w:t>三、结语</w:t>
      </w:r>
    </w:p>
    <w:p>
      <w:r>
        <w:t>从 Q3 的这些变化来看，OKX Ventures 对市场前景非常乐观，宏观上降息作为重大利好、以太坊持续创新、链上部分数据创新高、以SUI 为代表的公链生态和 Meme 带来的文化创新 ，均为行业提供持续的增长动力。本季度我们聚焦于具备战略潜力的项目，不仅契合市场增长机会，也在各自领域展现出独特的竞争优势。</w:t>
      </w:r>
    </w:p>
    <w:p>
      <w:r>
        <w:t>无论是在比特币的再质押与 DeFi 应用、跨链流动性整合，还是在区块链性能的提升与数据处理的优化，这些项目都在推动技术突破与应用场景的扩展。此外，我们继续看好 AI 生成内容和分布式计算的前景，它们将为未来行业的创新发展提供新动能。</w:t>
      </w:r>
    </w:p>
    <w:p>
      <w:r>
        <w:t>OKX Ventures 免责声明，请详阅https://www.okx.com/zh-hans/learn/okx-disclaimer.</w:t>
      </w:r>
    </w:p>
    <w:p>
      <w:r>
        <w:t>风险提示及免责声明</w:t>
      </w:r>
    </w:p>
    <w:p>
      <w:r>
        <w:t>本文章仅供参考。本文仅代表作者观点，不代表 OKX 以及上述机构立场。本文无意提供 (i) 投资建议或投资推荐； (ii) 购买、出售或持有数字资产的要约或招揽； (iii)财务、会计、法律或税务建议。我们不保证该等信息的准确性、完整性或有用性。持有的数字资产（包括稳定币和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