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Solana价格触及3个月高位 SOL或反弹至200美元以上</w:t>
      </w:r>
    </w:p>
    <w:p>
      <w:r>
        <w:t>作者：Marcel Pechman，CoinTelegraph；编译：陶朱，本站</w:t>
      </w:r>
    </w:p>
    <w:p>
      <w:r>
        <w:t>Solana 在奋力夺回近 3 个月的水平后，再次交投于 180 美元上方。一个月来，比特币上涨 16.3% 至 183 美元，与此同时，比特币也从历史高点上涨至 1,000 美元以内，但 Solana 的数据是否支持SOL将升至更高水平？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354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35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山寨币总资本额（左）对比SOL/美元（右）。来源：Tradingview</w:t>
      </w:r>
    </w:p>
    <w:p>
      <w:r>
        <w:t>链上和衍生品指标表明 Solana 的牛市可能才刚刚开始，有可能进一步上涨至 200 美元甚至更高。数据显示，Solana 网络的总锁定价值 (TVL) 稳步上升，智能合约中的担保金额创下了 2 年来的新高。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8495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849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Solana 网络总价值锁定，SOL。来源：DefiLlama</w:t>
      </w:r>
    </w:p>
    <w:p>
      <w:r>
        <w:t>10月26日，Solana 网络的存款达到4250万SOL，是自2022年9月以来的最高水平。主要贡献者包括Jupiter，在过去30天内，该公司的储量增加了13%，Raydium增加了18%，Sanctum在同一时期增加了17%。</w:t>
      </w:r>
    </w:p>
    <w:p>
      <w:pPr>
        <w:pStyle w:val="Heading2"/>
      </w:pPr>
      <w:r>
        <w:t>Solana 在去中心化应用中排名第二</w:t>
      </w:r>
    </w:p>
    <w:p>
      <w:r>
        <w:t>Solana 目前已超越 BNB Chain，成为流动性 TVL 方面第二大网络，但仍落后于以太坊。近年来，这一差距一直在缩小。 Solana 最近增长的一个例子是币安推出的 SOL 流动性质押服务，该服务目前在 Solana 生态系统中排名第十，表明存在更大的增长潜力。</w:t>
      </w:r>
    </w:p>
    <w:p>
      <w:r>
        <w:t>相比之下，以太坊的 TVL 在过去 30 天内增加了 2%，而 BNB Chain 则下降了 5%。值得注意的是，仅关注存款数字可能会产生误导，因为许多去中心化应用程序 (DApp)（包括游戏、收藏品、Web3 基础设施、社交网络和市场）不需要大量存款基础。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135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13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区块链按 7 天 DEX 交易量排名（美元）。来源：DefiLlama</w:t>
      </w:r>
    </w:p>
    <w:p>
      <w:r>
        <w:t>Solana 最近超越以太坊，在去中心化交易所 (DEX) 交易量方面处于领先地位，在过去 7 天内增长了 19%，保持了这一位置。相比之下，以太坊的活跃度飙升了 6%，而 BNB Chain 则下降了 3%。总体而言，以太坊的 Layer-2 生态系统容量同期增长了 5%，使 Solana 成为明显的赢家。</w:t>
      </w:r>
    </w:p>
    <w:p>
      <w:r>
        <w:t>Solana 生态系统中的著名贡献者包括 Raydium，上涨了 20%； Lifinity，销量增加 49%；和 Phoenix，在短短 7 天内增加了 34% 的活动。 Solana 流量增加的很大一部分可归因于 memecoin 行业，这引发了人们对这种增长的可持续性的质疑。</w:t>
      </w:r>
    </w:p>
    <w:p>
      <w:r>
        <w:t>例如，Moo Deng (MOODENG) 过去一周飙升 178%，Goatseus Maximus (GOAT) 上涨 71%，Nosana (NOS) 上涨 70%。虽然无法预测模因币的涨势会持续多久，但历史表明，只有少数能够长期保持价值。值得注意的例外包括 Shiba Inu (SHIB)、Pepe (PEPE) 和 Dogwifhat (WIF)。</w:t>
      </w:r>
    </w:p>
    <w:p>
      <w:pPr>
        <w:pStyle w:val="Heading2"/>
      </w:pPr>
      <w:r>
        <w:t>低杠杆使用为价格增长留下空间</w:t>
      </w:r>
    </w:p>
    <w:p>
      <w:r>
        <w:t>除了链上指标外，黄金期货缺乏过度杠杆表明，12月29日反弹至182美元只是更广泛牛市周期的初始阶段。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983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98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SOL永续合约平均8小时资金费率。资料来源：laevitas.ch</w:t>
      </w:r>
    </w:p>
    <w:p>
      <w:r>
        <w:t>当前 0.01% 的资金费率表明多头头寸（买家）正在为杠杆付费，相当于每月约 0.9%。在零售买家需求旺盛时期，该利率每月可超过 2.1%；因此，目前的水平被认为是中性的。与积极的链上指标相结合，该数据表明 SOL 现货购买活动健康，为 200 美元甚至更高的潜在收益留下了空间。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