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阿联酋央行初步批准AED稳定币：若全面获批 AE Coin可用于本地交易与支付</w:t>
      </w:r>
    </w:p>
    <w:p>
      <w:r>
        <w:t>来源：Aiying Payment Compliance</w:t>
      </w:r>
    </w:p>
    <w:p>
      <w:r>
        <w:t>阿联酋央行（CBUAE）近日对AED Stablecoin授予了</w:t>
      </w:r>
      <w:r>
        <w:t>初步批准</w:t>
      </w:r>
      <w:r>
        <w:t>也就是原则性批准，标志着该公司在成为阿联酋首个受监管的迪拉姆稳定币发行者方面迈出了重要一步。这一批准为阿联酋数字货币领域注入了新的动力，并推动该国朝着全球加密金融中心的目标迈进。</w:t>
      </w:r>
    </w:p>
    <w:p>
      <w:r>
        <w:t>这一发展为未来的稳定币使用铺平了道路。根据该框架，</w:t>
      </w:r>
      <w:r>
        <w:t>只有获得许可的迪拉姆稳定币才可用于支付</w:t>
      </w:r>
      <w:r>
        <w:t>。这不仅缓解了此前由于阿联酋央行发布的加密货币监管框架而引发的对支付限制的担忧，同时也为未来的稳定币使用铺平了道路。若获得</w:t>
      </w:r>
      <w:r>
        <w:t>全面批准，</w:t>
      </w:r>
      <w:r>
        <w:t>AED Stablecoin的AE Coin可以作为本地加密货币交易对，在交易所和去中心化平台上使用，商家也可以接受其作为支付手段。</w:t>
      </w:r>
    </w:p>
    <w:p>
      <w:pPr>
        <w:pStyle w:val="Heading2"/>
      </w:pPr>
      <w:r>
        <w:t>支付代币服务法案的核心内容</w:t>
      </w:r>
    </w:p>
    <w:p>
      <w:r>
        <w:t>阿联酋央行通过今年6月发布的《支付代币服务法案》（Payment Token Services Regulation），为希望发行与法定货币挂钩的代币的企业提供了清晰的监管框架。Aiying艾盈团队对这一法案进行了深入分析，并梳理了以下几个重要内容。</w:t>
      </w:r>
    </w:p>
    <w:p>
      <w:r>
        <w:t>《支付代币服务法案》为数字资产和稳定币的发行和运营奠定了全面而明确的监管基础，以下是该法案的核心内容：</w:t>
      </w:r>
    </w:p>
    <w:p>
      <w:r>
        <w:t>许可要求</w:t>
      </w:r>
    </w:p>
    <w:p>
      <w:r>
        <w:t>谁需要获得许可？</w:t>
      </w:r>
      <w:r>
        <w:t xml:space="preserve"> 任何希望在阿联酋运营并提供支付代币服务的企业，无论本国还是外国企业，无论是代币发行（Payment Token Issuing）、代币兑换（Payment Token Conversion）、代币托管与转移（Payment Token Custody and Transfer），都需要获得阿联酋央行的许可。这包括与法定货币挂钩的稳定币发行商以及其他与支付代币相关的服务提供商。</w:t>
      </w:r>
    </w:p>
    <w:p>
      <w:r>
        <w:t>如何申请？</w:t>
      </w:r>
      <w:r>
        <w:t xml:space="preserve"> 企业需要向阿联酋央行提交详细的申请材料，包括公司结构、商业计划、财务状况以及合规措施。申请流程需要企业证明其有能力维护代币的稳定性和保障消费者的权益。企业还需通过反洗钱（AML）和反恐融资（CFT）的合规审查，确保资金的合法性。</w:t>
      </w:r>
    </w:p>
    <w:p/>
    <w:p/>
    <w:p>
      <w:r>
        <w:t>储备资产要求</w:t>
      </w:r>
    </w:p>
    <w:p>
      <w:r>
        <w:t>储备资产的关键性在于确保稳定币的价值不受市场波动影响，法案要求发行商保持充足的储备资产。这意味着所有流通中的稳定币必须有与之等值的法定货币或高流动性资产作为支持。</w:t>
      </w:r>
    </w:p>
    <w:p>
      <w:r>
        <w:t>如何确保价值稳定？</w:t>
      </w:r>
      <w:r>
        <w:t xml:space="preserve"> 发行商需要每天对其储备资产进行标价（mark-to-market），确保资产的市场价值与流通中代币的面值相等。对于发行多种法定货币挂钩代币的企业，法案要求它们为每种代币设立独立的储备资产池，确保每个代币的价值独立且稳定。</w:t>
      </w:r>
    </w:p>
    <w:p/>
    <w:p/>
    <w:p>
      <w:r>
        <w:t>数据保护和消费者保护</w:t>
      </w:r>
    </w:p>
    <w:p>
      <w:r>
        <w:t>消费者保护措施</w:t>
      </w:r>
      <w:r>
        <w:t xml:space="preserve"> 法案对消费者保护进行了详细规定，确保支付代币服务提供商对客户的资金和数据安全负有责任。企业必须制定严格的安全措施，防止数据泄露和欺诈行为，并设立透明的客户投诉机制。</w:t>
      </w:r>
    </w:p>
    <w:p>
      <w:r>
        <w:t>数据保护</w:t>
      </w:r>
      <w:r>
        <w:t xml:space="preserve"> 法案要求企业遵守严格的数据保护政策，包括数据的存储、备份和传输。企业需要确保客户的个人信息和财务数据在交易过程中的安全性，防止未授权的访问或数据泄露。</w:t>
      </w:r>
    </w:p>
    <w:p/>
    <w:p/>
    <w:p>
      <w:r>
        <w:t>反洗钱（AML）和反恐融资（CFT）规定</w:t>
      </w:r>
    </w:p>
    <w:p>
      <w:r>
        <w:t>法案对反洗钱和反恐融资合规性提出了严格要求。所有支付代币服务提供商必须建立有效的AML/CFT政策，包括对客户身份的验证（KYC）以及监控可疑交易行为。</w:t>
      </w:r>
    </w:p>
    <w:p>
      <w:r>
        <w:t>合规流程</w:t>
      </w:r>
      <w:r>
        <w:t xml:space="preserve"> 企业需要任命专门的合规官员负责AML/CFT事务，并定期向央行报告其合规情况。企业还需通过内部审计确保其操作符合全球反洗钱和反恐融资的标准。</w:t>
      </w:r>
    </w:p>
    <w:p/>
    <w:p>
      <w:r>
        <w:t>为了保护市场的稳定性，法案对某些服务设立了严格的限制。例如，</w:t>
      </w:r>
      <w:r>
        <w:t>禁止在阿联酋境内发行或推广算法稳定币（Algorithmic Stablecoins）和隐私代币（Privacy Tokens）。此外，法案还限制了某些与外国支付代币相关的服务，确保这些服务仅在合规的前提下进行。</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