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链上天竺：印度加密资产税收与监管政策详解</w:t>
      </w:r>
    </w:p>
    <w:p/>
    <w:p>
      <w:r>
        <w:t>作者：TaxDAO</w:t>
      </w:r>
    </w:p>
    <w:p>
      <w:pPr>
        <w:pStyle w:val="Heading2"/>
      </w:pPr>
      <w:r>
        <w:t>1. 引言</w:t>
      </w:r>
    </w:p>
    <w:p>
      <w:r>
        <w:t>印度共和国（The Republic of India），南亚次大陆最大国家，国土面积约298万平方公里，居世界第7位，人口14.4亿。自2021年以来，印度成为世界上增速最快的大型经济体，平均经济增速保持在6.5%，是全球平均水平的两倍，根据国际货币基金组织（IMF）的估算数据，2023年，印度GDP达到3.53万亿美元，超过英国成为全球第五大经济体。2024年4月，IMF将印度2024-2025年的经济增长预测从6.5%上调至6.8%，原因是印度国内需求强劲以及劳动年龄人口增加。近年来印度经济活动大部分由投资推动，其年度投资占GDP比重从疫情前的31.6%上升到23年的33.7%，主要得益于印度政府推动基础设施投资，抵消了私人消费、政府消费惨淡增长和外部需求放缓的拖累。此外，印度市场对投资者的吸引力同步增长。摩根士丹利分析认为，印度股票市场已经成为全球第四大股票市场，并有望在2030年前成为全球第三大股票市场，跨国公司对印度投资前景的信心处于历史最高水平。然而，印度也存在着明显的失衡问题，总量GDP与人均GDP差异很大，经济结构和产业结构严重倾斜，地区之间国民生活水平的悬殊。从总体水平来看，印度已是全球第五大经济体，但从人均水平来看，它仍然徘徊在第140位左右，远低于中国、墨西哥、南非等。</w:t>
      </w:r>
    </w:p>
    <w:p>
      <w:pPr>
        <w:pStyle w:val="Heading2"/>
      </w:pPr>
      <w:r>
        <w:t>2. 印度基本税收制度概述</w:t>
      </w:r>
    </w:p>
    <w:p>
      <w:r>
        <w:t>2.1 印度税收体系</w:t>
      </w:r>
    </w:p>
    <w:p>
      <w:r>
        <w:t>印度税制是以印度宪法的规定为基础建立起来的，根据印度《宪法》第265条规定：“没有议会的授权，行政上不能课税”。印度税收征收权主要集中在联邦中央政府和各邦之间，地方市一级政府负责少量的税种征收，中央和各邦征税权有明确划分，中央政府征收的税种（Central Taxes）包括直接税和间接税两大类，直接税主要由企业所得税、个人所得税和财产税等组成，间接税主要包括货物与劳务税、关税等。印度的税收主要由印度税务局（Indian Revenue Service，IRS）管理，其下属的中央直接税局管理所得税、财产税等直接税相关事宜；印度消费税和海关中央委员会（Central Board of Excise and Customs，CBEC）负责管理印度的海关和中央消费税、服务税等间接税事宜。邦政府主要征收货物与劳务税、印花税、邦消费税、娱乐博彩税、土地收入税等。在货物与劳务税没有覆盖的领域，如石油产品和白酒，继续征收增值税（未实施增值税的邦为销售税）等原税种。地方城市政府征收的税种主要包括财产税、入市税，以及供水、排水等公用设施使用税等。</w:t>
      </w:r>
    </w:p>
    <w:p>
      <w:r>
        <w:t>印度税收征收严格遵循税收法定主义。由于印度法律采用的是英美法系（普通法系/海洋法系），因此，虽然印度税法（制定法或成文法）不断增加和完善，但仍然受判例法解释的制约。判例法一般是指高级法院的判决中所确立的法律原则或规则，这种原则或规则对以后的税收案件判决具有约束力或影响力。</w:t>
      </w:r>
    </w:p>
    <w:p>
      <w:r>
        <w:t>2.2 企业所得税</w:t>
      </w:r>
    </w:p>
    <w:p>
      <w:r>
        <w:t>在印度，企业应就其所得缴纳企业所得税。印度没有单独的资本利得税，资本利得被计入企业所得税的应纳税所得额。1961年的《所得税法》规定了最低替代税、股息税和回购股份分配税，《2020年金融法》废除了股息分配税，改对股东手中的股息收入征收所得税，纳税年度为当年4月1日到次年3月31日。</w:t>
      </w:r>
    </w:p>
    <w:p>
      <w:r>
        <w:t>居民企业是指在印度注册成立的以及实际管理机构所在地位于印度的企业，实际管理机构所在地（POEM）是对企业整体经营做出关键决策和商业决定的机构所在地。</w:t>
      </w:r>
    </w:p>
    <w:p>
      <w:r>
        <w:t>所得税的应税所得分为4类：①经营利润或收益；②财产收入，包括自用、出租居住房、商业用房，如果该财产用于公司的业务运营，则不属于这个范畴；③资本利得；④来自其他来源的收入，包括彩票奖金、比赛奖金和证券利息。比赛包括赛马、卡牌及其他赌博类游戏。免税所得包括：①合伙企业的股份收益；②长期资本利得；③境外劳务所得；④政府债券收入；⑤救济基金收入。</w:t>
      </w:r>
    </w:p>
    <w:p>
      <w:r>
        <w:t>境内企业的企业所得税基本税率为30%，此外，企业还应根据企业所得税税额缴纳相应的附加税和健康教育附加。一些企业适用特定的优惠税率：（1）总营业额或总收入未超过40亿RS的中小企业在不享受税收豁免或优惠的情况下适用25%的企业所得税税率；（2）2016年3月1日或之后完成注册登记的生产、制造、研发企业以及配套企业在不享受税收豁免或优惠的情况下适用15%的企业所得税税率，并缴纳10%的附加税；（3）在境内研发（根据1970年专利法，至少75%的研发费用发生在印度）和注册的专利取得的特许权使用费适用10%的企业所得税税率；（4）境内的有限责任合伙企业适用30%的企业所得税税率，与非法人合伙企业一致；（5）外国企业和境外设立的有限责任合伙企业适用40%的企业所得税税率，等待。</w:t>
      </w:r>
    </w:p>
    <w:p>
      <w:r>
        <w:t>非居民企业及其分支机构通常适用40%的企业所得税税率，加收2%（如果净收入超过 1000 万RS但不超过1 亿RS）或5%（如果净收入超过 1 亿RS）的附加税，并按应纳税额的4%缴纳健康教育附加。</w:t>
      </w:r>
    </w:p>
    <w:p>
      <w:r>
        <w:t>印度提供诸多所得税税收优惠政策，包括全部或部分免税、降低税率、退税、加速折旧或特殊扣除。税收优惠适用的行业较为广泛，包括出口导向型企业、自由贸易区和科技园区的工业经营、基础设施建设、酒店、旅游业，开发区的企业、研究公司、矿物油生产、冷链设施、航运和航空运输、茶/咖啡/橡胶工业、新闻机构和废物处理业务。例如，在经济特区制造产品或提供服务的新成立企业有资格获得多项税收优惠，包括前5年的利润和收益100%免税，在接下来5年内的利润和收益免税50%；如满足某些条件，未来5年还可免税50%；经批准的开发商可获得较长时间的免税。</w:t>
      </w:r>
    </w:p>
    <w:p>
      <w:r>
        <w:t>2.3 个人所得税</w:t>
      </w:r>
    </w:p>
    <w:p>
      <w:r>
        <w:t>印度居民在世界范围内的收入都需要纳税。对于居住在印度但不属于普通居民的个人，仅须为其在印度获得的收入、被视为在印度发生或取得的收入、在印度收到的收入，或者虽然在印度境外收到，但来自由印度人士控制或在印度成立之公司的收入缴纳所得税。</w:t>
      </w:r>
    </w:p>
    <w:p>
      <w:r>
        <w:t>非印度居民仅需为在印度获得的收入以及在印度收到、发生或者取得的收入纳税，非印度居民可能还会因为通过企业关系在印度发生或取得的收入、通过印度的任何资产或收入来源获得的收入，或者通过转让位于印度的资产（包括在印度成立的公司的股份）获得的收入纳税。</w:t>
      </w:r>
    </w:p>
    <w:p>
      <w:r>
        <w:t>在印度，收入按照分级制度纳税征税。在印度的外国国民的所得税是根据其纳税居民身份情况确定的，根据 1961 年《所得税法》规定的个人在印度的居民身份状况和收入水平，个人收入按累进税率征税。非就业收入根据收入类型按可变税率征税。居民个人所得税采取分类综合税制，实行累进税率。计算方法：纳税人将各类所得（工薪所得、房产所得、经营所得、资本利得和其他所得）加总后减除税收优惠，免税收入，税前扣除项目（保险费用、医疗支出、教育支出、慈善捐赠等）和允许弥补的以前年度亏损后的余额为应税所得。应税所得适用超额累进税率后的税额为应纳税额。在此基础上，再计算出附加税、教育费附加和中等及以上教育附加后，为所得税的应纳税总额。非居民纳税人须按居民纳税人相同的税率缴纳预提所得税，如果年净收入超过 1000 万RS还需缴纳15%的附加税和 4%的健康教育附加。</w:t>
      </w:r>
    </w:p>
    <w:p>
      <w:r>
        <w:t>个人所得税税率</w:t>
      </w:r>
    </w:p>
    <w:p>
      <w:r>
        <w:drawing>
          <wp:inline xmlns:a="http://schemas.openxmlformats.org/drawingml/2006/main" xmlns:pic="http://schemas.openxmlformats.org/drawingml/2006/picture">
            <wp:extent cx="4572000" cy="12344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234440"/>
                    </a:xfrm>
                    <a:prstGeom prst="rect"/>
                  </pic:spPr>
                </pic:pic>
              </a:graphicData>
            </a:graphic>
          </wp:inline>
        </w:drawing>
      </w:r>
    </w:p>
    <w:p>
      <w:r>
        <w:t>根据特定要求，下列福利可享受税收优惠待遇：（1）公司提供的住房；（2）为在矿区或陆上石油勘探区、项目施工工地、坝址、发电厂或海上工作的员工提供的住宿。雇主缴纳的以下项目，如不超过规定限额，则不必计入雇员的应税薪酬：（1）报销的医疗费用；（2）印度退休福利基金缴款，包括公积金、抚恤及养老基金。部分津贴（包括租房津贴和度假旅行津贴）可免税，或以一个较低值计入应纳税所得额，但需符合特定条件。雇佣开始或结束时支付的额外津贴需计入应税薪酬中。人寿保险保费、社会保障金缴款以及大学、学院或其他教育机构全日制教育的学费和学杂费可从收入中扣除，最高可达15 万RS。</w:t>
      </w:r>
    </w:p>
    <w:p>
      <w:r>
        <w:t>2.4 货物与劳务税</w:t>
      </w:r>
    </w:p>
    <w:p>
      <w:r>
        <w:t>印度商品和服务税的前身是销售税，销售税根据1956年的《中央销售税法案》对邦内、邦际销售和进出口贸易等征收，2005年增值税取代销售税。自2017年7月1日起，增值税又被货物与劳务税(GST)所取代，印度实施货物与劳务税（GST)改革后，货物与劳务税包括增值税(VAT)、中央消费税、车辆税、货物和乘客税、电力税、娱乐税和其他税等。货物与劳务税是一种间接税，是一种基于交易的税收制度。目前，有一些产品仍然不在货物与劳务税的范围之内，如汽油、柴油、航空涡轮燃料(ATF)、天然气、供人类消费的酒精和原油。货物与劳务税是对所有商品和服务的供应征收的综合税，类似增值税。</w:t>
      </w:r>
    </w:p>
    <w:p>
      <w:r>
        <w:t>目前，货物与劳务税的基本税率有4档，即5%、12%、18%和28%，每档税率为CGST和SGST的合计税率，即两者各征50%，此外，还设有0.25%和3%两档适用钻石、未经加工的宝石以及金、银等少量货物的税率。因此，如果不包括对出口实行的零税率，印度GST实际上有6档税率。此外，除了上述商品及服务税税率外，商品及服务税法还对某些商品(如香烟、烟草、充气水、汽油和机动车辆)的销售征收附加税，税率从1%到204%不等。绝大部分商品的税率都在18%以下，特定奢侈品和有害商品适用28%税率，同时还需征收附加税。</w:t>
      </w:r>
    </w:p>
    <w:p>
      <w:pPr>
        <w:pStyle w:val="Heading2"/>
      </w:pPr>
      <w:r>
        <w:t>3. 印度的加密资产税收制度</w:t>
      </w:r>
    </w:p>
    <w:p>
      <w:r>
        <w:t>3.1 印度加密税概要</w:t>
      </w:r>
    </w:p>
    <w:p>
      <w:r>
        <w:t>印度所得税部门（ITD）在《所得税法》中引入了第2(47A)条，定义了虚拟数字资产（Virtual Digital Assets,VDA），这个定义相当详细，涵盖了所有类型的加密资产，包括加密货币、NFT、代币等。</w:t>
      </w:r>
    </w:p>
    <w:p>
      <w:r>
        <w:t>在2022年的预算中，财政部长引入了第115BBH条款，该条款从2022年4月1日起，对通过交易加密货币获得的利润征收30%的税率（加上适用的附加税和4%的附加费）。这个税率与印度最高的所得税等级一致（不包括附加税和附加费），这一税率适用于私人投资者、商业交易者以及在特定财政年度内转让加密资产的任何人。此外，无论收入性质如何，30%的税率将适用于所有收入，这意味着无论是投资收入还是商业收入，短期和长期收益都没有区别。</w:t>
      </w:r>
    </w:p>
    <w:p>
      <w:r>
        <w:t>除了30%的税率外，另一条款第194S条还规定，从2022年7月1日起，如果加密交易在一个财政年度内超过RS50,000（或在某些情况下为RS10,000），则对加密资产的转让征收1%的源头扣除税（TDS），以确保所有加密交易都被追踪。免税的行为包括：持有加密货币（HODLing）；在自己的钱包之间转移加密货币；收到价值低于RS50,000的加密货币赠与；收到来自直系亲属的任意金额的加密货币赠与。</w:t>
      </w:r>
    </w:p>
    <w:p>
      <w:r>
        <w:t>印度投资者在交易加密货币/NFT时，需要根据资产持有情况，申报其收入为资本收益（如果资产作为投资持有），或者申报为商业收入（如果资产用于交易）。从2022-2023财年及以后，所得税申报表中新增了一个专门用于报告加密货币/NFT收益的附表，称为“虚拟数字资产附表”（Schedule - Virtual Digital Assets）。该附表继续适用于2023-2024财年的申报表。</w:t>
      </w:r>
    </w:p>
    <w:p>
      <w:r>
        <w:t>3.2 加密税的具体适用情况</w:t>
      </w:r>
    </w:p>
    <w:p>
      <w:r>
        <w:t>在进行以下交易时，需要支付30%的加密税：将加密货币出售为印度RS或其他法定货币；用加密货币进行加密交易，包括稳定币；使用加密货币支付商品和服务。但是，一起加密资产并不总是适用30%的税率，有时所得税部门会将其视为其他收入，这些情况下，将根据个人所得税等级（见2.3）缴纳税款，包括：收到加密货币赠与（如为受赠人）；挖矿加密货币；以加密货币支付工资；质押奖励；空投。此后出售、交易或使用这些加密货币，可能需要为获得的利润支付30%的税。</w:t>
      </w:r>
    </w:p>
    <w:p>
      <w:r>
        <w:t>ITD尚未发布关于DeFi交易的具体指导，需要参考现有的所得税法条款，以下DeFi交易可能在收到时按个人所得税税率征税：通过流动性挖矿获得新的代币、治理代币或奖励代币；推荐奖励；游戏赚取收入；浏览赚取平台的收入，如Permission.io或Brave。即使在收到时已经缴纳了税款，若以后出售、交换或使用这些代币，还需要为利润支付30%的税。</w:t>
      </w:r>
    </w:p>
    <w:p>
      <w:r>
        <w:t>3.3 源头扣除税（TDS）</w:t>
      </w:r>
    </w:p>
    <w:p>
      <w:r>
        <w:t>在印度，投资者要为加密资产的转让支付1%的源头扣除税（TDS）。TDS是一种在源头征收的税款，引入1% TDS的主要原因是捕捉交易细节，并跟踪印度投资者在加密资产上的投资。关于TDS，有几点需要注意：TDS适用于2022年7月1日后的交易；当在印度交易所交易时，TDS将由交易所扣除并缴纳给政府；当通过P2P平台或国际交易所交易时，买方有责任扣除TDS；在加密货币之间的交易中，TDS将分别对买卖双方各征收1%。</w:t>
      </w:r>
    </w:p>
    <w:p>
      <w:r>
        <w:t>需要注意的是，如果交易额由“特定人”支付，并且其加密交易活动总价值在一个财政年度内不超过RS50,000，则无需扣除TDS。特定人指的是个人或HUF（印度联合家庭）。如果交易者没有前一财政年度的业务收入，或者其销售/总收入/业务收入不超过RS1亿，或其销售/总收入/专业收入不超过RS50万，则TDS限额将从RS50,000降低到RS10,000。</w:t>
      </w:r>
    </w:p>
    <w:p>
      <w:r>
        <w:t>如果在印度交易所进行交易，通常TDS要求将由交易所直接完成，因此无需在报税时进行操作。但在P2P和国际交易所的交易中，作为特定人支付和申报TDS的责任如下：在P2P交易和国际交易所的交易中，TDS需要在扣除的月份结束后30天内通过Form 26QE提交。目前，此表格尚未在所得税门户网站上提供，因此投资者需要等待ITD对如何存缴TDS的明确说明，所有非特定人需获取TAN号，按季度提交Form 26Q，并在下个月的7日之前缴纳TDS税款。此外，在报税时可以通过申报TDS抵免来减少总应缴税款。</w:t>
      </w:r>
    </w:p>
    <w:p>
      <w:r>
        <w:t>3.4 损失与丢失相关税务规定</w:t>
      </w:r>
    </w:p>
    <w:p>
      <w:r>
        <w:t>根据第115BBH条款，禁止将加密货币的损失用于抵扣加密货币收益或任何其他收益或收入。印度的加密投资者也不能申报与加密货币相关的费用，除非是资产的获取成本/买入价。</w:t>
      </w:r>
    </w:p>
    <w:p>
      <w:r>
        <w:t>印度所得税部门（ITD）尚未对丢失或被盗的加密货币给出明确的指导，但根据印度法院对其他资产的损失或盗窃作出的判决，因黑客攻击、诈骗或盗窃导致的加密货币损失通常无需缴税。但是，鉴于ITD对加密货币损失抵扣的严格规定，投资者很难主张因丢失或被盗的加密资产导致的损失抵扣。</w:t>
      </w:r>
    </w:p>
    <w:p>
      <w:pPr>
        <w:pStyle w:val="Heading2"/>
      </w:pPr>
      <w:r>
        <w:t>4. 印度加密资产监管制度概述</w:t>
      </w:r>
    </w:p>
    <w:p>
      <w:r>
        <w:t>印度加密货币行业正经历一段充满不确定性的时期，这不仅体现在国家层面上缺乏全面的监管框架，还体现在监管机构对加密货币的态度上的摇摆不定。印度加密法案被视为可能改变游戏规则的事物，它预计将为印度储备银行（RBI）发行的数字货币铺平道路，暗示着一种进步，可能使印度走在央行数字货币（CBDC）革命的最前沿。然而，现实情况要复杂得多，这项法案经过多年的酝酿，经历了多次修改和推迟，至今内容仍不明确，关于其对私人加密货币的立场存在相互矛盾之处。</w:t>
      </w:r>
    </w:p>
    <w:p>
      <w:r>
        <w:t>该法案的历程反映了全球范围内有效监管数字资产的斗争。尽管各国政府看到了区块链技术和数字货币的潜力，但对于金融稳定、投资者保护以及防止非法活动的担忧依然很大。印度财政部最近的一份声明进一步加剧了这一局面的复杂性，财政部表示，目前还没有出台监管数字资产交易的立法提案，鉴于有关《加密货币法案》的讨论仍在进行中，这一声明令许多人感到意外。这种明显的矛盾表明，印度政府内部对加密货币监管存在不同的观点，同时也凸显了政策制定者在跟上快速发展的加密货币领域方面所面临的挑战。</w:t>
      </w:r>
    </w:p>
    <w:p>
      <w:r>
        <w:t>鉴于自上而下的监管挑战，印度加密货币行业内部对自我监管的支持日益增多。这种方法可以在不受约束的市场自由和严格的政府控制之间找到一个中间立场，加密货币领域的自我监管可能涉及行业主导的举措，以建立最佳实践，实施强有力的KYC和反洗钱（AML）程序，并建立消费者保护机制。通过积极解决监管问题，加密行业可以展示其对负责任增长的承诺，并可能缓解政府的一些担忧。</w:t>
      </w:r>
    </w:p>
    <w:p>
      <w:r>
        <w:t>事实上，一些印度加密货币交易所已经朝着这个方向迈出了步伐。比如，印度的一家大型加密货币交易所WazirX已经实施了严格的KYC程序，并与执法机构合作以防止非法活动。然而，自我监管可能无法充分解决所有监管问题，并可能导致利益冲突。尽管存在这些挑战，自我监管在短期至中期内仍可能发挥关键作用，尤其是在考虑到当前监管的不确定性的情况下。</w:t>
      </w:r>
    </w:p>
    <w:p>
      <w:r>
        <w:t>尽管印度可能缺乏全面的加密货币监管框架，但它已采取措施对该行业进行某种形式的监督，这些监督主要是税收和反洗钱措施。在税收方面，前文已述及，包括对加密货币交易利润征收30%的税，并实行了源头扣缴税（TDS）。在反洗钱方面，在印度运营的加密货币交易所必须遵守《防止洗钱法》（PMLA）。这些措施代表了加密货币监管的一种务实态度，通过专注于税收和反洗钱合规性，政府找到了一种无需明确合法化或禁止加密货币即可对加密货币行业实施一定控制的方法。</w:t>
      </w:r>
    </w:p>
    <w:p>
      <w:r>
        <w:t>2024年，全球最大的加密货币交易所之一Binance宣布成功注册成为印度的报告实体，这标志着印度加密货币监管领域的重要转折。Binance遵守印度的反洗钱（AML）标准，与政府致力于防止加密货币领域非法活动的重点保持一致。因此，Binance的成功注册或将成为印度制定更全面加密货币监管的催化剂，全球加密货币参与者有可能在印度的监管框架内开展业务，并有可能鼓励政府为该行业制定更详细的指导方针。</w:t>
      </w:r>
    </w:p>
    <w:p>
      <w:pPr>
        <w:pStyle w:val="Heading2"/>
      </w:pPr>
      <w:r>
        <w:t>5. 印度加密资产税收与监管制度总结与展望</w:t>
      </w:r>
    </w:p>
    <w:p>
      <w:r>
        <w:t>尽管印度尚未建立全面的加密资产监管框架，但已通过税收手段对其进行了初步管理。在其他监管方面，尽管缺乏具体立法，但部分交易所已采取自我监管措施，如实施严格的KYC和AML程序。</w:t>
      </w:r>
    </w:p>
    <w:p>
      <w:r>
        <w:t>展望未来，随着全球加密市场的发展，印度政府可能会推出更完善的监管政策。国际参与者如Binance成功注册为印度报告实体，显示了其愿意适应当地监管环境的态度,这可能促使政府制定更详细的指导方针，从而实现金融安全与创新发展的平衡。同时，税收合规与反洗钱将是印度加密资产生态持续健康发展的关键因素。对于各国来说，加密货币的发展都是一个不断适应技术发展、平衡创新与风险、并逐步与国际标准接轨的过程，努力建立一个更加稳定和成熟的市场环境，促进加密货币行业的健康发展。</w:t>
      </w:r>
    </w:p>
    <w:p>
      <w:r>
        <w:t>参考文献</w:t>
      </w:r>
    </w:p>
    <w:p>
      <w:r>
        <w:t>[1].Wijaya, D. A., Liu, J. K., SuwaRSono, D. A., &amp; Zhang, P. (2017). A new blockchain-based value-added tax system. In Provable Security: 11th International Conference, ProvSec 2017, Xi'an, China, October 23-25, 2017, Proceedings 11 (pp. 471-486). Springer International Publishing.</w:t>
      </w:r>
    </w:p>
    <w:p>
      <w:r>
        <w:t>[2].Cho, S., Lee, K., Cheong, A., No, W. G., &amp; Vasarhelyi, M. A. (2021). Chain of values: Examining the economic impacts of blockchain on the value-added tax system. Journal of Management Information Systems, 38(2), 288-313.</w:t>
      </w:r>
    </w:p>
    <w:p>
      <w:r>
        <w:t>[3].2023印度加密货币税收全攻略：政策、优化与合规要点详解.深潮TechFlow</w:t>
      </w:r>
    </w:p>
    <w:p>
      <w:r>
        <w:t>[4].王拓, &amp; 刘晓星. (2021). 数字货币的源起, 技术演进及未来趋势. 深圳社会科学.</w:t>
      </w:r>
    </w:p>
    <w:p>
      <w:r>
        <w:t>[5].张平, &amp; 王静敏. 行为财政视角下应用区块链技术提升税收遵从度的研究. 中央财经大学学报, (10), 3-9.</w:t>
      </w:r>
    </w:p>
    <w:p>
      <w:r>
        <w:t>[6].印度对加密货币交易征收30%的巨额所得税. (n.d.).</w:t>
      </w:r>
    </w:p>
    <w:p>
      <w:r>
        <w:t>[7].加密货币在印度的征税和合法性问题.Law.asia</w:t>
      </w:r>
    </w:p>
    <w:p>
      <w:r>
        <w:t>[8].2024年印度的加密货币监管.ComplyCube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