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俄罗斯加密货币政策转型有何影响？（附政策转变时间表）</w:t>
      </w:r>
    </w:p>
    <w:p>
      <w:r>
        <w:t>来源：Chainalysis；编译：邓通，本站</w:t>
      </w:r>
    </w:p>
    <w:p>
      <w:r>
        <w:t>为了应对西方制裁带来的日益增加的财政压力，俄罗斯颁布了一项重要立法，将加密货币挖矿合法化，并允许使用加密货币进行国际支付。据彭博社报道，该法案于 8 月 8 日由总统弗拉基米尔·普京签署成为法律，加密支付试验定于本月开始。</w:t>
      </w:r>
    </w:p>
    <w:p>
      <w:r>
        <w:t>这与政府此前的立场有很大不同，俄罗斯中央银行 (CBR) 曾推动在 2022 年全面禁止加密货币。</w:t>
      </w:r>
      <w:r>
        <w:t>新法律将于9月对跨境支付生效，11月对加密货币挖矿生效，这将使俄罗斯企业能够使用加密货币进行国际贸易，并授权获批的实体开采数字资产。</w:t>
      </w:r>
    </w:p>
    <w:p>
      <w:r>
        <w:t>普京呼吁俄罗斯“不要错过时机”监管加密货币，强调加密货币在全球支付中的作用日益增强，并有可能减少对美元的依赖。</w:t>
      </w:r>
      <w:r>
        <w:t>包括法案作者安东·戈列尔金 (Anton Gorelkin) 和俄罗斯中央银行行长埃尔维拉·纳比乌琳娜 (Elvira Nabiullina) 在内的主要官员明确承认，此项立法变更旨在减轻制裁的影响并促进国际支付。</w:t>
      </w:r>
    </w:p>
    <w:p>
      <w:pPr>
        <w:pStyle w:val="Heading2"/>
      </w:pPr>
      <w:r>
        <w:t>俄罗斯对加密货币的态度转变</w:t>
      </w:r>
    </w:p>
    <w:p>
      <w:r>
        <w:t>尽管最近出台了相关立法，但俄罗斯仍然禁止使用加密货币进行国内支付。然而，这并没有抑制加密货币在该国的广泛使用。事实上，俄罗斯在我们的年度全球加密货币采用指数中一直名列前茅，这与我们的更广泛观察一致，即全面禁止加密货币往往是无效的，因为它们并没有显著抑制使用，而是将其推向非正式或监管较少的渠道。</w:t>
      </w:r>
    </w:p>
    <w:p>
      <w:r>
        <w:t>与此同时，在最近的立法之前，与加密货币相关的银行服务在俄罗斯也呈上升趋势。据《生意人报》报道，俄罗斯亿万富翁弗拉基米尔·波塔宁 (Vladimir Potanin) 旗下的俄罗斯银行 (Rosbank) 于去年 6 月为企业跨境加密货币支付铺平了道路，随后其他几家银行也推出了类似的服务。</w:t>
      </w:r>
    </w:p>
    <w:p>
      <w:pPr>
        <w:pStyle w:val="Heading2"/>
      </w:pPr>
      <w:r>
        <w:t>通过跨境支付逃避制裁</w:t>
      </w:r>
    </w:p>
    <w:p>
      <w:r>
        <w:t>俄罗斯央行正在牵头将加密货币整合到俄罗斯跨境支付金融体系中，创建一个实验性基础设施，允许获批的俄罗斯企业和实体使用数字货币进行国际贸易。据官方声明称，获批的采矿实体也将被允许使用加密货币来结算交易。</w:t>
      </w:r>
    </w:p>
    <w:p>
      <w:r>
        <w:t>这些最近的加密货币立法努力是俄罗斯更广泛努力的一部分，旨在开发替代支付机制，以减轻西方制裁压力，同时减少对美元的依赖，这一直是俄罗斯的长期目标，尤其是在地缘政治紧张局势加剧的情况下。</w:t>
      </w:r>
    </w:p>
    <w:p>
      <w:pPr>
        <w:pStyle w:val="Heading2"/>
      </w:pPr>
      <w:r>
        <w:t>俄罗斯中央银行：监管权力的新范围</w:t>
      </w:r>
    </w:p>
    <w:p>
      <w:r>
        <w:t>新立法巩固了俄罗斯中央银行对加密货币的控制，使其能够密切监管和监控这些交易。虽然俄罗斯中央银行仍在测试其中央银行数字货币 (CBDC)，数字卢布预计将于 2025 年推出，但这项立法允许在中央银行监督下使用现有的加密货币。</w:t>
      </w:r>
    </w:p>
    <w:p>
      <w:r>
        <w:t>俄罗斯一直在探索各种方法来规避美国主导的金融体系，包括与金砖国家共同体合作的基于区块链的举措，以及可能与伊朗合作推出黄金支持的稳定币。俄罗斯中央银行金融信息系统 (SPFS)——俄罗斯替代 SWIFT 金融信息系统的系统——是该战略的另一个关键组成部分，尽管其使用仍然有限。</w:t>
      </w:r>
    </w:p>
    <w:p>
      <w:pPr>
        <w:pStyle w:val="Heading2"/>
      </w:pPr>
      <w:r>
        <w:t>可能处理国际交易的交易所</w:t>
      </w:r>
    </w:p>
    <w:p>
      <w:r>
        <w:t>根据彭博社的报道，当局正在探索使加密货币交易所合法化的方法。财政部长安东·西卢安诺夫表示：“我们还没有找到解决方案。”然而，据俄罗斯新闻媒体《生意人报》报道，俄罗斯正在推进在圣彼得堡和莫斯科推出两家新的加密货币交易所的计划。据报道，圣彼得堡的交易所将由圣彼得堡货币交易所 (SPCE) 的基础设施支持，尽管据国家通讯社 Interfax 报道，SPCE 否认参与其中。尽管监管方面存在矛盾，但俄罗斯已经拥有一个蓬勃发展的加密货币生态系统。</w:t>
      </w:r>
    </w:p>
    <w:p>
      <w:r>
        <w:t>俄罗斯一些最大的非 KYC 交易所，如 Tetchange、100btc、Bitzlato、Suex 和 Garantex，都位于联邦大厦内或附近，这是一座两层摩天大楼综合体，位于莫斯科国际商务中心（也称为莫斯科城）内。虽然其中一些服务（如 Suex OTC）在被美国财政部指定后活动有所减少，但其他服务（如 Garantex）仍保持了稳定的运营水平。</w:t>
      </w:r>
    </w:p>
    <w:p>
      <w:r>
        <w:t>Garantex 是俄罗斯加密货币市场的核心参与者，尽管美国和英国分别被外国资产控制办公室 (OFAC) 和金融制裁实施办公室 (OFSI) 指定，但它仍可能继续发挥重要作用。这家中心化交易所 (CEX) 处理了俄罗斯和伊朗指定参与者的大量交易，证明了其在逃避制裁方面的效用。根据新立法，鉴于 Garantex 在主要区块链上的深厚流动性，俄罗斯政府可以正式或非正式地利用 Garantex 等服务。尽管 Garantex 自 2018 年以来处理了近 1000 亿美元的交易，但这种大规模活动并不一定等同于国家支持的大规模逃避制裁，应谨慎评估。值得注意的是，并非所有 Garantex 用户都是俄罗斯国民或居住在俄罗斯，他们也不代表俄罗斯政府行事。此外，大量逃避制裁活动发生在官方政府渠道之外，并通过传统的链下方法进行，例如私人投资工具和离岸空壳公司。</w:t>
      </w:r>
    </w:p>
    <w:p>
      <w:r>
        <w:t>另一个可以利用加密货币逃避制裁的交易所是 Exved，它与 InDeFi Bank 密切合作，后者由 Garantex 创始人 Sergey Mendeleev 和前克格勃官员兼媒体大亨 Alexander Lebedev 共同创立。Exved 甚至在新立法颁布之前就一直在促进进出口。</w:t>
      </w:r>
    </w:p>
    <w:p/>
    <w:p>
      <w:r>
        <w:drawing>
          <wp:inline xmlns:a="http://schemas.openxmlformats.org/drawingml/2006/main" xmlns:pic="http://schemas.openxmlformats.org/drawingml/2006/picture">
            <wp:extent cx="4572000" cy="34213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21380"/>
                    </a:xfrm>
                    <a:prstGeom prst="rect"/>
                  </pic:spPr>
                </pic:pic>
              </a:graphicData>
            </a:graphic>
          </wp:inline>
        </w:drawing>
      </w:r>
    </w:p>
    <w:p>
      <w:r>
        <w:t>此外，根据 InDeFi 白皮书和新闻报道，提供收益耕作和闪电贷等广泛 DeFi 产品的 InDeFi 已参与在以太坊网络上推出卢布支持的稳定币的努力。</w:t>
      </w:r>
    </w:p>
    <w:p>
      <w:r>
        <w:t>在立法立场不断变化的背景下，俄罗斯的加密货币业务取得了好坏参半的成功。一方面，Garantex 代表了一个成功的故事，而其他全球交易所则以合规性问题为由退出了俄罗斯市场，一些当地交易所甚至完全关闭。去年，币安将其俄罗斯业务出售给 CommEX，后者于今年早些时候暂停了服务，这反映了在 2022 年 2 月全面入侵乌克兰后在俄罗斯开展业务面临的更广泛挑战。</w:t>
      </w:r>
    </w:p>
    <w:p>
      <w:r>
        <w:t>虽然很难量化某些制裁行动的真正影响，但俄罗斯官员指出制裁对莫斯科处理跨境贸易能力的影响这一事实表明，这种影响足以激发人们的紧迫感，使其合法化并投资于曾经谴责的替代支付渠道。</w:t>
      </w:r>
    </w:p>
    <w:p>
      <w:pPr>
        <w:pStyle w:val="Heading2"/>
      </w:pPr>
      <w:r>
        <w:t>可用于支付的加密货币</w:t>
      </w:r>
    </w:p>
    <w:p>
      <w:r>
        <w:t>据《生意人报》报道，俄罗斯正计划推出人民币和金砖国家稳定币，并得到圣彼得堡和莫斯科正在开发的新加密货币交易所的支持。此外，考虑到 USDT 和 USDC 等中心化稳定币的流动性和全球广泛流行度，也可能考虑使用它们，但它们的中心化控制和监管响应能力会带来中断风险。数字卢布一旦推出也可能发挥作用，但鉴于对俄罗斯的严厉经济制裁，其他国家对其的吸引力仍不确定。最后，获准开采的实体可能会开采比特币，比特币在全球仍然流动性很强，很受欢迎。</w:t>
      </w:r>
    </w:p>
    <w:p>
      <w:pPr>
        <w:pStyle w:val="Heading2"/>
      </w:pPr>
      <w:r>
        <w:t>链上制裁规避的规模挑战</w:t>
      </w:r>
    </w:p>
    <w:p>
      <w:r>
        <w:t>俄罗斯将加密货币整合到其金融体系中的举措可能会提高其绕过美国主导的金融体系并从事非美元计价贸易的能力。</w:t>
      </w:r>
      <w:r>
        <w:t>然而，鉴于俄罗斯的外汇储备总额略低于 5000 亿美元，其中约 3000 亿美元的美元、欧元和英镑仍被冻结，大规模的链上制裁规避仍然极不可能。正如我们之前所探讨的那样，当前的加密货币市场根本没有流动性来容纳如此大规模的交易。</w:t>
      </w:r>
    </w:p>
    <w:p>
      <w:r>
        <w:t>虽然在国家层面大规模规避制裁的可能性不大，但链上小规模的制裁规避仍然可能对国家安全、合规和调查产生重大影响。可能试图利用新进展的政府附属行为者包括支持乌克兰亲俄武装分子的筹款人、帮助寡头和其他政治公众人物进行资本外逃的协助者，或没有 KYC 要求的俄语即时兑换商，为受制裁的俄罗斯银行提供进出通道服务。这些小规模的活动可能会产生重大影响，凸显与此类交易相关的更广泛的安全和合规风险。</w:t>
      </w:r>
    </w:p>
    <w:p>
      <w:r>
        <w:t>下面我们可以看到俄罗斯即时兑换器的界面。</w:t>
      </w:r>
    </w:p>
    <w:p/>
    <w:p>
      <w:r>
        <w:drawing>
          <wp:inline xmlns:a="http://schemas.openxmlformats.org/drawingml/2006/main" xmlns:pic="http://schemas.openxmlformats.org/drawingml/2006/picture">
            <wp:extent cx="4572000" cy="13716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371600"/>
                    </a:xfrm>
                    <a:prstGeom prst="rect"/>
                  </pic:spPr>
                </pic:pic>
              </a:graphicData>
            </a:graphic>
          </wp:inline>
        </w:drawing>
      </w:r>
    </w:p>
    <w:p>
      <w:r>
        <w:t>用户无需进行任何 KYC 即可从受制裁的俄罗斯银行（如 Sberbank）的账户中转账，并兑换加密货币。这意味着用户可以有效地避免对受制裁的俄罗斯银行实施法定货币禁令。</w:t>
      </w:r>
    </w:p>
    <w:p>
      <w:r>
        <w:t>俄罗斯对加密货币的态度转变是对西方制裁的精心回应，着眼于一个不太依赖美元的替代金融体系。这一举措的成功将取决于俄罗斯如何有效地克服监管障碍、管理受制裁实体以及建立必要的基础设施和外国伙伴关系来支持这些交易。</w:t>
      </w:r>
    </w:p>
    <w:p>
      <w:pPr>
        <w:pStyle w:val="Heading2"/>
      </w:pPr>
      <w:r>
        <w:t>加密挖矿法案的影响</w:t>
      </w:r>
    </w:p>
    <w:p>
      <w:r>
        <w:t>除了在战时支撑经济之外，</w:t>
      </w:r>
      <w:r>
        <w:t>俄罗斯还试图超越美国成为加密货币挖矿领域的全球领导者。</w:t>
      </w:r>
    </w:p>
    <w:p>
      <w:r>
        <w:t>最近通过的加密挖矿法案引入了加密货币挖矿的结构化框架，创建了一个允许俄罗斯法人和企业家从事挖矿活动的登记册。该框架旨在规范大量挖矿业务，而能源消耗限制下的小型挖矿企业将不予考虑。挖矿法案早期草案中的语言被删除，这表明当局可能试图避免采取会对俄罗斯强大的加密货币生态系统产生不利影响的行动。特别是，与克里姆林宫结盟的俄罗斯新闻媒体 RBC 报道称，该法案最终版本中删除了禁止组织加密货币交易的拟议禁令，避免了俄罗斯中心交易所可能关闭，并为矿工提供了将其活动货币化的合法途径。</w:t>
      </w:r>
    </w:p>
    <w:p>
      <w:r>
        <w:t>根据新法律，矿工必须向当地金融监控机构 Rosfinmonitoring 报告其活动，并向安全部门提供钱包地址，从而有效地使其在国家监督下的运营合法化。这一监管举措也引发了有关俄罗斯境外加密货币挖矿分类的重要问题，尤其是考虑到美国和欧洲对俄罗斯能源部门实施的广泛部门制裁。尽管针对俄罗斯能源资源的国际制裁仍在继续，但俄罗斯对加密货币挖矿的授权和监督表明了其与国家利益的战略一致性。</w:t>
      </w:r>
    </w:p>
    <w:p>
      <w:pPr>
        <w:pStyle w:val="Heading2"/>
      </w:pPr>
      <w:r>
        <w:t>下一步：对当局、VASP 和 TradFi 的影响</w:t>
      </w:r>
    </w:p>
    <w:p>
      <w:r>
        <w:t>虽然这些立法变化可能会增强俄罗斯通过加密货币参与国际贸易的能力，但也可能会提高美国和欧盟当局的警惕性——尤其是关于交易对手风险以及与俄罗斯一些更重要的贸易伙伴（如中国和伊朗）的联系。随着这些法案增加了全球贸易的连通性，西方当局可能会继续专注于监控和减轻与受制裁实体的链上和链下金融活动相关的风险。</w:t>
      </w:r>
    </w:p>
    <w:p>
      <w:r>
        <w:t>更广泛地说，从委内瑞拉到俄罗斯再到伊朗，许多受到严厉制裁的国家历来都试图使用包括加密货币在内的替代支付机制来绕过制裁——这种方法充满挑战。区块链技术的透明度使调查人员能够实时监控和破坏资金流动。与 CEX、挖矿服务和其他链上实体相关的钱包地址可以被识别、归因并可能受到制裁。此外，加密货币市场的流动性限制意味着，试图将大量资产转移到链上可能会引起区块链观察者的注意，甚至会破坏整个市场的稳定。</w:t>
      </w:r>
    </w:p>
    <w:p>
      <w:r>
        <w:t>对于虚拟资产服务提供商 (VASP) 和传统金融机构而言，这些发展凸显了加强对俄罗斯采矿实体交易对手尽职调查的重要性。总体而言，这些变化使得 CEX 与俄罗斯实体打交道变得更加困难，这与俄罗斯自全面入侵乌克兰以来去风险化和去银行化的大趋势相一致。</w:t>
      </w:r>
    </w:p>
    <w:p>
      <w:r>
        <w:t>Chainalysis 的链上数据、监控和调查工具套件使调查人员和合规专业人员能够主动监控这些网络并采取破坏性行动，使指定实体越来越难以滥用加密货币来逃避制裁。</w:t>
      </w:r>
    </w:p>
    <w:p>
      <w:pPr>
        <w:pStyle w:val="Heading2"/>
      </w:pPr>
      <w:r>
        <w:t>俄罗斯对数字资产立场转变的时间表</w:t>
      </w:r>
    </w:p>
    <w:p/>
    <w:p>
      <w:r>
        <w:drawing>
          <wp:inline xmlns:a="http://schemas.openxmlformats.org/drawingml/2006/main" xmlns:pic="http://schemas.openxmlformats.org/drawingml/2006/picture">
            <wp:extent cx="4572000" cy="29108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10840"/>
                    </a:xfrm>
                    <a:prstGeom prst="rect"/>
                  </pic:spPr>
                </pic:pic>
              </a:graphicData>
            </a:graphic>
          </wp:inline>
        </w:drawing>
      </w:r>
    </w:p>
    <w:p/>
    <w:p>
      <w:r>
        <w:drawing>
          <wp:inline xmlns:a="http://schemas.openxmlformats.org/drawingml/2006/main" xmlns:pic="http://schemas.openxmlformats.org/drawingml/2006/picture">
            <wp:extent cx="4572000" cy="27432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43200"/>
                    </a:xfrm>
                    <a:prstGeom prst="rect"/>
                  </pic:spPr>
                </pic:pic>
              </a:graphicData>
            </a:graphic>
          </wp:inline>
        </w:drawing>
      </w:r>
    </w:p>
    <w:p/>
    <w:p>
      <w:r>
        <w:drawing>
          <wp:inline xmlns:a="http://schemas.openxmlformats.org/drawingml/2006/main" xmlns:pic="http://schemas.openxmlformats.org/drawingml/2006/picture">
            <wp:extent cx="4572000" cy="332993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329939"/>
                    </a:xfrm>
                    <a:prstGeom prst="rect"/>
                  </pic:spPr>
                </pic:pic>
              </a:graphicData>
            </a:graphic>
          </wp:inline>
        </w:drawing>
      </w:r>
    </w:p>
    <w:p/>
    <w:p>
      <w:r>
        <w:drawing>
          <wp:inline xmlns:a="http://schemas.openxmlformats.org/drawingml/2006/main" xmlns:pic="http://schemas.openxmlformats.org/drawingml/2006/picture">
            <wp:extent cx="4572000" cy="12877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28778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