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特斯拉市值暴涨千亿美元 十月底部署5万块H100芯片 明年上线Robotaxi 后年量产Cybercab</w:t>
      </w:r>
    </w:p>
    <w:p>
      <w:r>
        <w:t>来源：有新Newin</w:t>
      </w:r>
    </w:p>
    <w:p/>
    <w:p>
      <w:r>
        <w:t>10 月 24 日，特斯拉公布了意外强劲的第三季度财报，营收增长 8% 至 252 亿美元，毛利增长 57.14% 至 27.72 亿美元，净利润增长 16.24 至 21.83 亿美元。</w:t>
      </w:r>
    </w:p>
    <w:p/>
    <w:p>
      <w:r>
        <w:drawing>
          <wp:inline xmlns:a="http://schemas.openxmlformats.org/drawingml/2006/main" xmlns:pic="http://schemas.openxmlformats.org/drawingml/2006/picture">
            <wp:extent cx="4572000" cy="235458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2354580"/>
                    </a:xfrm>
                    <a:prstGeom prst="rect"/>
                  </pic:spPr>
                </pic:pic>
              </a:graphicData>
            </a:graphic>
          </wp:inline>
        </w:drawing>
      </w:r>
    </w:p>
    <w:p>
      <w:r>
        <w:t>特斯拉第三季度利润主要来源于汽车销售收入同比增长 2%，能源生产和存储业务同比增长 52%，包括超级充电网络在内的服务收入同比增长 29%。</w:t>
      </w:r>
    </w:p>
    <w:p>
      <w:r>
        <w:t>收入的增长主要归功于以下因素：</w:t>
      </w:r>
    </w:p>
    <w:p>
      <w:r>
        <w:t>每辆车的成本降低，包括原材料成本的下降、运费和一次性费用的减少；</w:t>
      </w:r>
    </w:p>
    <w:p>
      <w:r>
        <w:t>能源和服务等业务的毛利增长，这些业务的盈利能力提高；</w:t>
      </w:r>
    </w:p>
    <w:p>
      <w:r>
        <w:t>FSD收入的增加，带动了整体利润增长；</w:t>
      </w:r>
    </w:p>
    <w:p>
      <w:r>
        <w:t>车辆交付量的增长，进一步推动了盈利能力；</w:t>
      </w:r>
    </w:p>
    <w:p>
      <w:r>
        <w:t>监管信用收入增加；</w:t>
      </w:r>
    </w:p>
    <w:p>
      <w:r>
        <w:t>运营费用的减少，公司进行了成本削减，使得整体支出降低；</w:t>
      </w:r>
    </w:p>
    <w:p>
      <w:r>
        <w:t>S3XY车型的平均售价下降，尽管交付量增加，但售价下降对利润有一定负面影响；</w:t>
      </w:r>
    </w:p>
    <w:p>
      <w:r>
        <w:t>今年早些时候，特斯拉裁了近 10% 的员工，约 1.4 万个岗位，从而运营费用下降 6% 至 23 亿美元。</w:t>
      </w:r>
    </w:p>
    <w:p/>
    <w:p>
      <w:r>
        <w:drawing>
          <wp:inline xmlns:a="http://schemas.openxmlformats.org/drawingml/2006/main" xmlns:pic="http://schemas.openxmlformats.org/drawingml/2006/picture">
            <wp:extent cx="4572000" cy="2682240"/>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2682240"/>
                    </a:xfrm>
                    <a:prstGeom prst="rect"/>
                  </pic:spPr>
                </pic:pic>
              </a:graphicData>
            </a:graphic>
          </wp:inline>
        </w:drawing>
      </w:r>
    </w:p>
    <w:p/>
    <w:p>
      <w:r>
        <w:t>马斯克对特斯拉2025 年前景保持乐观，预计明年汽车销量将提高30% 后，股价飙升超 20%，并指出特斯拉将推出更多价格实惠车型。</w:t>
      </w:r>
    </w:p>
    <w:p/>
    <w:p>
      <w:r>
        <w:drawing>
          <wp:inline xmlns:a="http://schemas.openxmlformats.org/drawingml/2006/main" xmlns:pic="http://schemas.openxmlformats.org/drawingml/2006/picture">
            <wp:extent cx="4572000" cy="815339"/>
            <wp:docPr id="3" name="Picture 3"/>
            <wp:cNvGraphicFramePr>
              <a:graphicFrameLocks noChangeAspect="1"/>
            </wp:cNvGraphicFramePr>
            <a:graphic>
              <a:graphicData uri="http://schemas.openxmlformats.org/drawingml/2006/picture">
                <pic:pic>
                  <pic:nvPicPr>
                    <pic:cNvPr id="0" name="image.jpg"/>
                    <pic:cNvPicPr/>
                  </pic:nvPicPr>
                  <pic:blipFill>
                    <a:blip r:embed="rId11"/>
                    <a:stretch>
                      <a:fillRect/>
                    </a:stretch>
                  </pic:blipFill>
                  <pic:spPr>
                    <a:xfrm>
                      <a:off x="0" y="0"/>
                      <a:ext cx="4572000" cy="815339"/>
                    </a:xfrm>
                    <a:prstGeom prst="rect"/>
                  </pic:spPr>
                </pic:pic>
              </a:graphicData>
            </a:graphic>
          </wp:inline>
        </w:drawing>
      </w:r>
    </w:p>
    <w:p/>
    <w:p>
      <w:r>
        <w:t>特斯拉第三季度总生产约 46.98 万辆，同比增长 9%，其中 Model 3/Y 仍是主要支柱，而其他车型生产量增长显著，同比增长91%，总交付量约为46.29 万辆，同比增长 6%。</w:t>
      </w:r>
    </w:p>
    <w:p>
      <w:r>
        <w:t>去年底开始出货的 Cybertruck 随着产量攀升实现了毛利率转正，虽然季度报告中并没有透露具体的产量与销量，但根据召回文件显示，特斯拉至少交付了 2.7 万 Cybertruck。</w:t>
      </w:r>
    </w:p>
    <w:p/>
    <w:p/>
    <w:p>
      <w:r>
        <w:drawing>
          <wp:inline xmlns:a="http://schemas.openxmlformats.org/drawingml/2006/main" xmlns:pic="http://schemas.openxmlformats.org/drawingml/2006/picture">
            <wp:extent cx="4572000" cy="2453640"/>
            <wp:docPr id="4" name="Picture 4"/>
            <wp:cNvGraphicFramePr>
              <a:graphicFrameLocks noChangeAspect="1"/>
            </wp:cNvGraphicFramePr>
            <a:graphic>
              <a:graphicData uri="http://schemas.openxmlformats.org/drawingml/2006/picture">
                <pic:pic>
                  <pic:nvPicPr>
                    <pic:cNvPr id="0" name="image.jpg"/>
                    <pic:cNvPicPr/>
                  </pic:nvPicPr>
                  <pic:blipFill>
                    <a:blip r:embed="rId12"/>
                    <a:stretch>
                      <a:fillRect/>
                    </a:stretch>
                  </pic:blipFill>
                  <pic:spPr>
                    <a:xfrm>
                      <a:off x="0" y="0"/>
                      <a:ext cx="4572000" cy="2453640"/>
                    </a:xfrm>
                    <a:prstGeom prst="rect"/>
                  </pic:spPr>
                </pic:pic>
              </a:graphicData>
            </a:graphic>
          </wp:inline>
        </w:drawing>
      </w:r>
    </w:p>
    <w:p/>
    <w:p>
      <w:r>
        <w:t>特斯拉还更新了FSD 12.5，着重提升了安全性和舒适性。该版本得益于增加的数据量和训练计算能力，参数数量增加了 5 倍，并将继续在第四季度扩展。</w:t>
      </w:r>
    </w:p>
    <w:p/>
    <w:p>
      <w:r>
        <w:drawing>
          <wp:inline xmlns:a="http://schemas.openxmlformats.org/drawingml/2006/main" xmlns:pic="http://schemas.openxmlformats.org/drawingml/2006/picture">
            <wp:extent cx="4572000" cy="2316480"/>
            <wp:docPr id="5" name="Picture 5"/>
            <wp:cNvGraphicFramePr>
              <a:graphicFrameLocks noChangeAspect="1"/>
            </wp:cNvGraphicFramePr>
            <a:graphic>
              <a:graphicData uri="http://schemas.openxmlformats.org/drawingml/2006/picture">
                <pic:pic>
                  <pic:nvPicPr>
                    <pic:cNvPr id="0" name="image.jpg"/>
                    <pic:cNvPicPr/>
                  </pic:nvPicPr>
                  <pic:blipFill>
                    <a:blip r:embed="rId13"/>
                    <a:stretch>
                      <a:fillRect/>
                    </a:stretch>
                  </pic:blipFill>
                  <pic:spPr>
                    <a:xfrm>
                      <a:off x="0" y="0"/>
                      <a:ext cx="4572000" cy="2316480"/>
                    </a:xfrm>
                    <a:prstGeom prst="rect"/>
                  </pic:spPr>
                </pic:pic>
              </a:graphicData>
            </a:graphic>
          </wp:inline>
        </w:drawing>
      </w:r>
    </w:p>
    <w:p>
      <w:r>
        <w:t>从 2021 年 6 月到 2024 年 9 月，FSD 监督模式下的累计行驶里程逐步增加，总累计行驶里程约为 1.8 亿英里，FSD V12 版本的累计行驶里程约为 0.55 亿英里。</w:t>
      </w:r>
    </w:p>
    <w:p/>
    <w:p>
      <w:r>
        <w:drawing>
          <wp:inline xmlns:a="http://schemas.openxmlformats.org/drawingml/2006/main" xmlns:pic="http://schemas.openxmlformats.org/drawingml/2006/picture">
            <wp:extent cx="4572000" cy="2514600"/>
            <wp:docPr id="6" name="Picture 6"/>
            <wp:cNvGraphicFramePr>
              <a:graphicFrameLocks noChangeAspect="1"/>
            </wp:cNvGraphicFramePr>
            <a:graphic>
              <a:graphicData uri="http://schemas.openxmlformats.org/drawingml/2006/picture">
                <pic:pic>
                  <pic:nvPicPr>
                    <pic:cNvPr id="0" name="image.jpg"/>
                    <pic:cNvPicPr/>
                  </pic:nvPicPr>
                  <pic:blipFill>
                    <a:blip r:embed="rId14"/>
                    <a:stretch>
                      <a:fillRect/>
                    </a:stretch>
                  </pic:blipFill>
                  <pic:spPr>
                    <a:xfrm>
                      <a:off x="0" y="0"/>
                      <a:ext cx="4572000" cy="2514600"/>
                    </a:xfrm>
                    <a:prstGeom prst="rect"/>
                  </pic:spPr>
                </pic:pic>
              </a:graphicData>
            </a:graphic>
          </wp:inline>
        </w:drawing>
      </w:r>
    </w:p>
    <w:p/>
    <w:p>
      <w:r>
        <w:t>此外，他还表示特斯拉将在 2026 年生产 Cybercab 自动驾驶出租车，目标是每年至少生产 200 万辆，但并未透露具体时间。</w:t>
      </w:r>
    </w:p>
    <w:p>
      <w:r>
        <w:t>马斯克还提到，计划明年在加州和德州推出 Robotaxi 服务，但该计划还要面临巨大的监管挑战。</w:t>
      </w:r>
    </w:p>
    <w:p/>
    <w:p>
      <w:r>
        <w:drawing>
          <wp:inline xmlns:a="http://schemas.openxmlformats.org/drawingml/2006/main" xmlns:pic="http://schemas.openxmlformats.org/drawingml/2006/picture">
            <wp:extent cx="4572000" cy="2712720"/>
            <wp:docPr id="7" name="Picture 7"/>
            <wp:cNvGraphicFramePr>
              <a:graphicFrameLocks noChangeAspect="1"/>
            </wp:cNvGraphicFramePr>
            <a:graphic>
              <a:graphicData uri="http://schemas.openxmlformats.org/drawingml/2006/picture">
                <pic:pic>
                  <pic:nvPicPr>
                    <pic:cNvPr id="0" name="image.jpg"/>
                    <pic:cNvPicPr/>
                  </pic:nvPicPr>
                  <pic:blipFill>
                    <a:blip r:embed="rId15"/>
                    <a:stretch>
                      <a:fillRect/>
                    </a:stretch>
                  </pic:blipFill>
                  <pic:spPr>
                    <a:xfrm>
                      <a:off x="0" y="0"/>
                      <a:ext cx="4572000" cy="2712720"/>
                    </a:xfrm>
                    <a:prstGeom prst="rect"/>
                  </pic:spPr>
                </pic:pic>
              </a:graphicData>
            </a:graphic>
          </wp:inline>
        </w:drawing>
      </w:r>
    </w:p>
    <w:p/>
    <w:p>
      <w:r>
        <w:t>以加州为例，特斯拉需要获得加州机动车辆部门颁发的自动驾驶汽车路测许可和加州公共事业委员会颁发的经营许可证，才能在该州运营 Robotaxi 服务。</w:t>
      </w:r>
    </w:p>
    <w:p/>
    <w:p>
      <w:r>
        <w:t>特斯拉还表示，德州超级工厂安装的英伟达H100 芯片已安装了 2.9 万块，到 10 月底将增至 5 万块，这些芯片主要用于训练自动驾驶技术 FSD 所依赖的 AI 系统。</w:t>
      </w:r>
    </w:p>
    <w:p/>
    <w:p>
      <w:r>
        <w:drawing>
          <wp:inline xmlns:a="http://schemas.openxmlformats.org/drawingml/2006/main" xmlns:pic="http://schemas.openxmlformats.org/drawingml/2006/picture">
            <wp:extent cx="4572000" cy="2255520"/>
            <wp:docPr id="8" name="Picture 8"/>
            <wp:cNvGraphicFramePr>
              <a:graphicFrameLocks noChangeAspect="1"/>
            </wp:cNvGraphicFramePr>
            <a:graphic>
              <a:graphicData uri="http://schemas.openxmlformats.org/drawingml/2006/picture">
                <pic:pic>
                  <pic:nvPicPr>
                    <pic:cNvPr id="0" name="image.jpg"/>
                    <pic:cNvPicPr/>
                  </pic:nvPicPr>
                  <pic:blipFill>
                    <a:blip r:embed="rId16"/>
                    <a:stretch>
                      <a:fillRect/>
                    </a:stretch>
                  </pic:blipFill>
                  <pic:spPr>
                    <a:xfrm>
                      <a:off x="0" y="0"/>
                      <a:ext cx="4572000" cy="2255520"/>
                    </a:xfrm>
                    <a:prstGeom prst="rect"/>
                  </pic:spPr>
                </pic:pic>
              </a:graphicData>
            </a:graphic>
          </wp:inline>
        </w:drawing>
      </w:r>
    </w:p>
    <w:p/>
    <w:p>
      <w:r>
        <w:t>马斯克在电话会中表示，xAI 对特斯拉的 AI 技术发展具有显著的帮助，特别是在扩大模型训练规模方面，特斯拉可以参考 xAI 的实践方法。</w:t>
      </w:r>
    </w:p>
    <w:p>
      <w:r>
        <w:t>上周，两家公司已实现了 AI资源和部分设备的共享，旨在高效配置和共享资源以支持大规模训练。</w:t>
      </w:r>
    </w:p>
    <w:p>
      <w:r>
        <w:t>马斯克还表示，xAI 关注的是 AGI 以及超级 AI，一家致力于了解“宇宙的真实本质”的超级人工智能公司，它的使命在于寻求真理，特斯拉则专注制造自动驾驶汽车与自主机器人。</w:t>
      </w:r>
    </w:p>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 Id="rId11" Type="http://schemas.openxmlformats.org/officeDocument/2006/relationships/image" Target="media/image3.jpg"/><Relationship Id="rId12" Type="http://schemas.openxmlformats.org/officeDocument/2006/relationships/image" Target="media/image4.jpg"/><Relationship Id="rId13" Type="http://schemas.openxmlformats.org/officeDocument/2006/relationships/image" Target="media/image5.jpg"/><Relationship Id="rId14" Type="http://schemas.openxmlformats.org/officeDocument/2006/relationships/image" Target="media/image6.jpg"/><Relationship Id="rId15" Type="http://schemas.openxmlformats.org/officeDocument/2006/relationships/image" Target="media/image7.jpg"/><Relationship Id="rId16" Type="http://schemas.openxmlformats.org/officeDocument/2006/relationships/image" Target="media/image8.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