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胜利证券成香港首个获准分销虚拟资产结构性产品券商 将推两项独家全新产品及服务</w:t>
      </w:r>
    </w:p>
    <w:p>
      <w:r>
        <w:t>香港领先的虚拟资产券商胜利证券，宣布将推出两项创新产品及服务，进一步巩固其行业领先地位。胜利证券计划于今年年底前开始向合资格专业投资者推广虚拟资产结构性产品，并为通过胜利证券的平台持有稳定币的客户提供指定产品和服务，助客户赚取额外收益。</w:t>
      </w:r>
    </w:p>
    <w:p>
      <w:r>
        <w:t>胜利证券宣布已获证监会允许向合资格专业投资者销售以现金结算的虚拟资产结构性产品，为香港首家获批之持牌券商。这类产品以虚拟资产作为参考资产，助力客户在特定市场情况下获取更高的潜在回报、管理市场波动风险、实现套利等多种投资目标。</w:t>
      </w:r>
    </w:p>
    <w:p>
      <w:r>
        <w:t>此外，胜利证券客户现时已经可以透过其流动应用程序 VictoryX 认购货币巿场基金，未来胜利将进一步为持有稳定币的合资格客户透过指定产品及服务，赚取相对稳定的额外收益。上述两项产品服务预期将先后于今年年底前推出市场。</w:t>
      </w:r>
    </w:p>
    <w:p>
      <w:r>
        <w:t>胜利证券执行董事陈沛泉表示：「目前受监管的虚拟货币投资市场上，缺少策略性投资产品方面的选择。胜利证券获准分销虚拟资产结构性产品，标志着香港在建立更全面的虚拟资产生态系统方面向前迈进了重要一步。胜利证券作为香港虚拟资产行业先行者，将继续致力推出独特和创新的投资产品，助力客户配置多元资产，并于不同市况下捕捉获利机会。」</w:t>
      </w:r>
    </w:p>
    <w:p>
      <w:r>
        <w:t>胜利证券为香港首个和唯一获准可以容许客户透过胜利的平台直接进行加密货币及稳定币存入和提取的券商。随着虚拟资产市场的不断发展，胜利证券积极推动行业创新，先后发行崭新的投资工具及策略性投资产品，致力成为传统金融及虚拟资产行业的桥梁，于合规环境下为投资者提供新机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