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是什么让 Memecoin 如此有价值</w:t>
      </w:r>
    </w:p>
    <w:p>
      <w:r>
        <w:t>来源：Four Pillars；编译：白水，本站</w:t>
      </w:r>
    </w:p>
    <w:p>
      <w:pPr>
        <w:pStyle w:val="Heading2"/>
      </w:pPr>
      <w:r>
        <w:t>1. 代币价值的构成</w:t>
      </w:r>
    </w:p>
    <w:p/>
    <w:p>
      <w:r>
        <w:drawing>
          <wp:inline xmlns:a="http://schemas.openxmlformats.org/drawingml/2006/main" xmlns:pic="http://schemas.openxmlformats.org/drawingml/2006/picture">
            <wp:extent cx="4572000" cy="1851660"/>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1851660"/>
                    </a:xfrm>
                    <a:prstGeom prst="rect"/>
                  </pic:spPr>
                </pic:pic>
              </a:graphicData>
            </a:graphic>
          </wp:inline>
        </w:drawing>
      </w:r>
    </w:p>
    <w:p>
      <w:r>
        <w:t>来源: DeFiLlama(Pump.fun)</w:t>
      </w:r>
    </w:p>
    <w:p>
      <w:r>
        <w:t>自今年年初以来，加密行业见证了 memecoin 的狂热，这标志着许多人所说的“memecoin 超级周期”。这一运动的规模在 Pump.fun 的成功中显而易见，Pump.fun 是一个 memecoin 启动平台，每天产生超过 100 万美元的收入并促进 20,000 个代币的发行。Solana 已成为这场 memecoin 革命的中心，其 DEX 交易量现已超过以太坊和其他主要链。这种活动的激增进一步反映在 Phantom 钱包的显著成功中，其巅峰时期达到 7 亿 MAU。</w:t>
      </w:r>
    </w:p>
    <w:p>
      <w:r>
        <w:t>Memecoin 的影响远远超出了仅仅吸引加密爱好者的想象力 —— 它们已经成为向新手介绍加密的最强大门户。然而，这种成功也伴随着怀疑。批评者认为 memecoin 只是为了投机，指出它们的高波动性和明显缺乏内在价值。这引发了加密社区的一个重要问题：我们应该如何真正理解和评估 memecoin 在当今市场的价值？</w:t>
      </w:r>
    </w:p>
    <w:p>
      <w:r>
        <w:t>在加密生态系统中，代币的价值由三个主要部分组成：</w:t>
      </w:r>
    </w:p>
    <w:p>
      <w:r>
        <w:t>价值存储：</w:t>
      </w:r>
      <w:r>
        <w:t>与黄金或比特币类似，代币可以起到对冲通胀的作用，随着时间的推移保持购买力。这是最基本但最具挑战性的价值形式，因为它需要用户之间的广泛信任和共识。</w:t>
      </w:r>
    </w:p>
    <w:p>
      <w:r>
        <w:t>现金流和交易需求：</w:t>
      </w:r>
      <w:r>
        <w:t>这种价值源于实用性——无论是通过交易费（如 ETH 和 SOL 所示）、收费收入（如 DeFi 代币），还是代币销毁等价值累积机制。与传统股票非常相似，这些代币可以根据其商业模式和产生可持续现金流的能力进行评估。</w:t>
      </w:r>
    </w:p>
    <w:p>
      <w:r>
        <w:t>模因、叙事和注意力价值：</w:t>
      </w:r>
      <w:r>
        <w:t>这一组成部分由社区兴趣和参与度驱动。在加密市场中，项目吸引注意力和建立强大社区的能力通常成为关键的价值驱动因素。叙事范围从技术创新到金融基础设施，以及越来越多的文化和社会元素，如模因币所示。</w:t>
      </w:r>
    </w:p>
    <w:p>
      <w:r>
        <w:t>值得注意的是，这些要素并不相互排斥。代币通常体现了这三种要素的独特组合，并且随着项目的成熟和发展，这种平衡可能会发生变化。以下是一些值得注意的例子，说明了这些价值要素在实践中是如何体现的：</w:t>
      </w:r>
    </w:p>
    <w:p>
      <w:r>
        <w:t>比特币：</w:t>
      </w:r>
      <w:r>
        <w:t>体现了所有三个价值组成部分，但它主要因其价值存储属性而受到认可。除此之外，它还具有支付和跨境转账的实际用途，同时拥有一个由比特币极端主义者组成的忠实社区，他们加强了比特币的文化意义。</w:t>
      </w:r>
    </w:p>
    <w:p>
      <w:r>
        <w:t>以太坊/Solana：</w:t>
      </w:r>
      <w:r>
        <w:t>两者的价值主要来自于它们是网络交易和运营的基本货币，网络活动的增加直接推动了代币需求。它们既定的经济存在和网络效应也帮助它们发展成为可靠的价值存储。</w:t>
      </w:r>
    </w:p>
    <w:p>
      <w:r>
        <w:t>狗狗币：</w:t>
      </w:r>
      <w:r>
        <w:t>虽然它起源于一种 meme 驱动的代币，但它的发展已经超越了最初的吸引力。通过其专注的社区和持续的相关性，它已经达到了一定程度的稳定性，使其能够作为其忠实持有者群体的价值存储。</w:t>
      </w:r>
    </w:p>
    <w:p>
      <w:r>
        <w:t>Bonk：</w:t>
      </w:r>
      <w:r>
        <w:t>最初是 Solana 生态系统中的 meme 代币，后来通过 BonkBot 和 Moonwalk 等各种应用程序扩展了其实用性。这种演变帮助它通过真正的交易需求和价值累积发展出可持续的价值。</w:t>
      </w:r>
    </w:p>
    <w:p>
      <w:r>
        <w:t>在现有的数千种代币中，只有不到 20 种协议可能真正获得了作为稳定价值存储手段的认可，或者实现了产生持续需求所需的市场契合度。流通中的绝大多数代币的市场价值主要来自第三个要素——模因地位、叙事强度和吸引市场注意力的能力。</w:t>
      </w:r>
    </w:p>
    <w:p>
      <w:pPr>
        <w:pStyle w:val="Heading2"/>
      </w:pPr>
      <w:r>
        <w:t>2. Memecoin 的价值何在</w:t>
      </w:r>
    </w:p>
    <w:p/>
    <w:p>
      <w:r>
        <w:drawing>
          <wp:inline xmlns:a="http://schemas.openxmlformats.org/drawingml/2006/main" xmlns:pic="http://schemas.openxmlformats.org/drawingml/2006/picture">
            <wp:extent cx="4572000" cy="3383280"/>
            <wp:docPr id="2" name="Picture 2"/>
            <wp:cNvGraphicFramePr>
              <a:graphicFrameLocks noChangeAspect="1"/>
            </wp:cNvGraphicFramePr>
            <a:graphic>
              <a:graphicData uri="http://schemas.openxmlformats.org/drawingml/2006/picture">
                <pic:pic>
                  <pic:nvPicPr>
                    <pic:cNvPr id="0" name="image.jpg"/>
                    <pic:cNvPicPr/>
                  </pic:nvPicPr>
                  <pic:blipFill>
                    <a:blip r:embed="rId10"/>
                    <a:stretch>
                      <a:fillRect/>
                    </a:stretch>
                  </pic:blipFill>
                  <pic:spPr>
                    <a:xfrm>
                      <a:off x="0" y="0"/>
                      <a:ext cx="4572000" cy="3383280"/>
                    </a:xfrm>
                    <a:prstGeom prst="rect"/>
                  </pic:spPr>
                </pic:pic>
              </a:graphicData>
            </a:graphic>
          </wp:inline>
        </w:drawing>
      </w:r>
    </w:p>
    <w:p>
      <w:r>
        <w:t>正如我们上面所讨论的，决定 memecoin 价值的根本因素与其他加密代币有着根本的相似之处。除了包括使用稳定币进行支付和转账在内的实际效用之外，加密的真正潜力在于代币化的概念本身。从本质上讲，加密擅长将社区参与和文化价值转化为有形的经济价值，创造新市场，并建立激励驱动的网络和社区。</w:t>
      </w:r>
    </w:p>
    <w:p>
      <w:r>
        <w:t>这就是为什么其他加密基础设施或平台最初存在的原因——从 Uniswap 和 Jupiter 等 DeFi 协议到预言机和再质押等中间件解决方案，甚至包括 rollups 和 DA 层等基本基础设施。它们都有助于促进基于代币的经济活动和围绕它的互动。</w:t>
      </w:r>
    </w:p>
    <w:p/>
    <w:p>
      <w:r>
        <w:drawing>
          <wp:inline xmlns:a="http://schemas.openxmlformats.org/drawingml/2006/main" xmlns:pic="http://schemas.openxmlformats.org/drawingml/2006/picture">
            <wp:extent cx="4572000" cy="3002280"/>
            <wp:docPr id="3" name="Picture 3"/>
            <wp:cNvGraphicFramePr>
              <a:graphicFrameLocks noChangeAspect="1"/>
            </wp:cNvGraphicFramePr>
            <a:graphic>
              <a:graphicData uri="http://schemas.openxmlformats.org/drawingml/2006/picture">
                <pic:pic>
                  <pic:nvPicPr>
                    <pic:cNvPr id="0" name="image.jpg"/>
                    <pic:cNvPicPr/>
                  </pic:nvPicPr>
                  <pic:blipFill>
                    <a:blip r:embed="rId11"/>
                    <a:stretch>
                      <a:fillRect/>
                    </a:stretch>
                  </pic:blipFill>
                  <pic:spPr>
                    <a:xfrm>
                      <a:off x="0" y="0"/>
                      <a:ext cx="4572000" cy="3002280"/>
                    </a:xfrm>
                    <a:prstGeom prst="rect"/>
                  </pic:spPr>
                </pic:pic>
              </a:graphicData>
            </a:graphic>
          </wp:inline>
        </w:drawing>
      </w:r>
    </w:p>
    <w:p>
      <w:r>
        <w:t>资料来源：了解 Memecoin 的兴起</w:t>
      </w:r>
    </w:p>
    <w:p>
      <w:r>
        <w:t>大多数基础设施和 DeFi 项目都通过其代币强调技术和金融创新，但它们的价值主要源于叙事和注意力经济学，而不是作为价值存储或现金流生成器。</w:t>
      </w:r>
      <w:r>
        <w:t>模因币的独特之处在于它们刻意摆脱了这些传统的加密货币叙事游戏，转而拥抱社区和娱乐的基本价值。</w:t>
      </w:r>
      <w:r>
        <w:t>通过这样做，它们对风险投资和内幕驱动市场的局限性及其通常肤浅的效用主张提出了讽刺的观点。</w:t>
      </w:r>
    </w:p>
    <w:p>
      <w:r>
        <w:t>“从短期来看，市场是一台投票机，但从长期来看，它是一台称重机。”——Benjamin Graham</w:t>
      </w:r>
    </w:p>
    <w:p>
      <w:r>
        <w:t>市场事件和投资者情绪推动短期价格波动，但随着时间的推移，资产通常会回归其真正的基本价值。这一原则并非股票独有 —— 它适用于所有资产，包括实物资产、代币和模因币。</w:t>
      </w:r>
    </w:p>
    <w:p/>
    <w:p>
      <w:r>
        <w:drawing>
          <wp:inline xmlns:a="http://schemas.openxmlformats.org/drawingml/2006/main" xmlns:pic="http://schemas.openxmlformats.org/drawingml/2006/picture">
            <wp:extent cx="4572000" cy="2240279"/>
            <wp:docPr id="4" name="Picture 4"/>
            <wp:cNvGraphicFramePr>
              <a:graphicFrameLocks noChangeAspect="1"/>
            </wp:cNvGraphicFramePr>
            <a:graphic>
              <a:graphicData uri="http://schemas.openxmlformats.org/drawingml/2006/picture">
                <pic:pic>
                  <pic:nvPicPr>
                    <pic:cNvPr id="0" name="image.jpg"/>
                    <pic:cNvPicPr/>
                  </pic:nvPicPr>
                  <pic:blipFill>
                    <a:blip r:embed="rId12"/>
                    <a:stretch>
                      <a:fillRect/>
                    </a:stretch>
                  </pic:blipFill>
                  <pic:spPr>
                    <a:xfrm>
                      <a:off x="0" y="0"/>
                      <a:ext cx="4572000" cy="2240279"/>
                    </a:xfrm>
                    <a:prstGeom prst="rect"/>
                  </pic:spPr>
                </pic:pic>
              </a:graphicData>
            </a:graphic>
          </wp:inline>
        </w:drawing>
      </w:r>
    </w:p>
    <w:p>
      <w:r>
        <w:t>来源: memecoinrace.xyz</w:t>
      </w:r>
    </w:p>
    <w:p>
      <w:r>
        <w:t>是的，与其他资产相比，模因币的波动性更大，对市场事件的反应也更强烈。但它们的成功或失败不能仅用短期交易和投机来解释。在数千种模因币中，只有少数成功建立了持久的社区并维持了其价值。其余的通常在最初的炒作消退后不久就消失了。</w:t>
      </w:r>
    </w:p>
    <w:p>
      <w:r>
        <w:t>是什么造成了这种差异？</w:t>
      </w:r>
      <w:r>
        <w:t>关键是要理解模因币不仅仅是投机工具——它们是社区和文化价值的代币化表达。</w:t>
      </w:r>
      <w:r>
        <w:t>为了更好地理解这一点，让我们来看看影响模因币价值的三个关键因素，或者更广泛地说，影响代币的模因价值：</w:t>
      </w:r>
    </w:p>
    <w:p>
      <w:pPr>
        <w:pStyle w:val="Heading3"/>
      </w:pPr>
      <w:r>
        <w:t>1.背景和叙述</w:t>
      </w:r>
    </w:p>
    <w:p>
      <w:r>
        <w:t>强大的起源故事和引人入胜的叙述是推动 memecoin 最初成功的关键要素。</w:t>
      </w:r>
      <w:r>
        <w:t>与基因类似，模因通过复制和进化传播 —— 但在出现的无数模因中，只有那些具有真正强大叙述的模因才能获得影响力和感染力。</w:t>
      </w:r>
    </w:p>
    <w:p>
      <w:r>
        <w:t>最成功的 memecoin 具有非凡的阅读市场和挖掘吸引人们注意力的东西的能力。PEPE 在 2023 年初加密货币市场的黑暗时期推出，它带来了急需的幽默和轻松，帮助改变了市场情绪并引发了更广泛的 memecoin 复兴。在 FTX 崩溃后，BONK 成为 Solana 生态系统中的希望灯塔，体现了对中心化权力的抵抗和社区的韧性。最近，GOAT 通过围绕由 Marc Andreessen 支持的 AI 驱动的 memecoin 建立叙述，开辟了自己独特的地位。</w:t>
      </w:r>
    </w:p>
    <w:p>
      <w:r>
        <w:t>这些成功的 memecoin 的与众不同之处不仅在于它们的娱乐价值，还在于它们能够编造出与市场情绪产生共鸣并通过引人入胜的故事讲述吸引公众想象力的故事。</w:t>
      </w:r>
    </w:p>
    <w:p>
      <w:r>
        <w:t>有影响力的人物通常在塑造 memecoin 的故事和成功方面发挥着关键作用。</w:t>
      </w:r>
      <w:r>
        <w:t>以 DOGE 与 Elon Musk 为例，WIF 与 Ansem 或 SPX 与 Murad。这些关键人物不仅仅是倡导者；他们转变为社区支柱，既支持代币的增长，又塑造其基本愿景和价值观。</w:t>
      </w:r>
    </w:p>
    <w:p>
      <w:r>
        <w:t>然而，即使是最引人注目的故事和最强大的领导力也不能保证持久的成功。看看 2024 年初的 memecoin 超级周期——尽管最初很兴奋，但绝大多数发行都很快变得无关紧要。虽然最初的炒作和 FOMO 可能会暂时推高价格，但接下来发生的事情往往是可以预见的：一旦势头停滞，它就会变成一场绝望的退出竞赛，持有者争先恐后地抢在其他人之前出售，通常以代币的价值暴跌至零而告终。这种兴衰循环已经成为 memecoin 领域一种十分常见的模式。</w:t>
      </w:r>
    </w:p>
    <w:p>
      <w:pPr>
        <w:pStyle w:val="Heading3"/>
      </w:pPr>
      <w:r>
        <w:t>2.社区与品牌</w:t>
      </w:r>
    </w:p>
    <w:p>
      <w:r>
        <w:t>在《人类简史》中，尤瓦尔·赫拉利指出了人类的一项决定性特征：我们相信虚构事物的能力。随着越来越多的人相信这些虚构事物，它们会变得更加强大和真实。模因和社区的运作方式大致相同。它们通过最具病毒性的思想形式（乐趣和文化）传播，随着越来越多的人参与其中，它们会形成强大的网络效应和真正的文化价值。</w:t>
      </w:r>
    </w:p>
    <w:p/>
    <w:p>
      <w:r>
        <w:drawing>
          <wp:inline xmlns:a="http://schemas.openxmlformats.org/drawingml/2006/main" xmlns:pic="http://schemas.openxmlformats.org/drawingml/2006/picture">
            <wp:extent cx="4572000" cy="2202180"/>
            <wp:docPr id="5" name="Picture 5"/>
            <wp:cNvGraphicFramePr>
              <a:graphicFrameLocks noChangeAspect="1"/>
            </wp:cNvGraphicFramePr>
            <a:graphic>
              <a:graphicData uri="http://schemas.openxmlformats.org/drawingml/2006/picture">
                <pic:pic>
                  <pic:nvPicPr>
                    <pic:cNvPr id="0" name="image.jpg"/>
                    <pic:cNvPicPr/>
                  </pic:nvPicPr>
                  <pic:blipFill>
                    <a:blip r:embed="rId13"/>
                    <a:stretch>
                      <a:fillRect/>
                    </a:stretch>
                  </pic:blipFill>
                  <pic:spPr>
                    <a:xfrm>
                      <a:off x="0" y="0"/>
                      <a:ext cx="4572000" cy="2202180"/>
                    </a:xfrm>
                    <a:prstGeom prst="rect"/>
                  </pic:spPr>
                </pic:pic>
              </a:graphicData>
            </a:graphic>
          </wp:inline>
        </w:drawing>
      </w:r>
    </w:p>
    <w:p>
      <w:r>
        <w:t>来源: Milady Maker</w:t>
      </w:r>
    </w:p>
    <w:p>
      <w:r>
        <w:t>为了将 memecoin 最初的热度和资本转化为真正的成功——可持续的价值——它必须建立强大的社区和品牌基础。</w:t>
      </w:r>
      <w:r>
        <w:t>像 Bonk 和 WIF 这样的代币，以及像 Pudgy Penguins、CryptoPunk 和 Milady 这样的 NFT，已经从简单的 meme 演变为文化符号和知名品牌。正如奢侈品和时尚品牌代表着某些生活方式和价值观一样，这些数字资产赋予了持有者独特的身份和归属感。当人们持有这些代币并参与他们的社区时，他们不仅仅是在投机——他们正在参与一种新的文化消费形式。</w:t>
      </w:r>
    </w:p>
    <w:p>
      <w:r>
        <w:t>与传统品牌或文化团体相比，加密社区的独特之处在于它们如何将文化价值与经济激励相结合。</w:t>
      </w:r>
      <w:r>
        <w:t>以 Degen 为例——它直接奖励早期 Farcaster 社区的内容创作和社交参与。参与者不仅仅是消费者；他们是积极的价值创造者。这形成了一个积极的反馈循环，更早、更积极的参与会带来更大的回报，鼓励早期采用和长期的社区忠诚度。</w:t>
      </w:r>
    </w:p>
    <w:p>
      <w:pPr>
        <w:pStyle w:val="Heading3"/>
      </w:pPr>
      <w:r>
        <w:t>3.有机增长与公平</w:t>
      </w:r>
    </w:p>
    <w:p/>
    <w:p>
      <w:r>
        <w:drawing>
          <wp:inline xmlns:a="http://schemas.openxmlformats.org/drawingml/2006/main" xmlns:pic="http://schemas.openxmlformats.org/drawingml/2006/picture">
            <wp:extent cx="4572000" cy="1722120"/>
            <wp:docPr id="6" name="Picture 6"/>
            <wp:cNvGraphicFramePr>
              <a:graphicFrameLocks noChangeAspect="1"/>
            </wp:cNvGraphicFramePr>
            <a:graphic>
              <a:graphicData uri="http://schemas.openxmlformats.org/drawingml/2006/picture">
                <pic:pic>
                  <pic:nvPicPr>
                    <pic:cNvPr id="0" name="image.jpg"/>
                    <pic:cNvPicPr/>
                  </pic:nvPicPr>
                  <pic:blipFill>
                    <a:blip r:embed="rId14"/>
                    <a:stretch>
                      <a:fillRect/>
                    </a:stretch>
                  </pic:blipFill>
                  <pic:spPr>
                    <a:xfrm>
                      <a:off x="0" y="0"/>
                      <a:ext cx="4572000" cy="1722120"/>
                    </a:xfrm>
                    <a:prstGeom prst="rect"/>
                  </pic:spPr>
                </pic:pic>
              </a:graphicData>
            </a:graphic>
          </wp:inline>
        </w:drawing>
      </w:r>
    </w:p>
    <w:p>
      <w:r>
        <w:t>来源：以可信中立为指导原则</w:t>
      </w:r>
    </w:p>
    <w:p>
      <w:r>
        <w:t>去中心化不仅对区块链网络至关重要，而且也是 memecoins 构建有机社区的基本要求。</w:t>
      </w:r>
      <w:r>
        <w:t>这与 Vitalik Buterin 所说的“可信中立”相一致。人们对有利于特定群体或个人的歧视性条件或利益高度敏感。以 Vitalik 为例：当社交媒体平台审查特定的政治意识形态或内容时，人们会感到愤怒，但当外卖应用程序过滤掉评分较低的餐厅时，他们不会抱怨。</w:t>
      </w:r>
    </w:p>
    <w:p>
      <w:r>
        <w:t>如前所述，</w:t>
      </w:r>
      <w:r>
        <w:t>memecoin 的真正价值取决于有多少人对其 meme 文化和社区产生共鸣并希望参与其中。因此，有机增长和公平不仅仅是道德要求，更是实际必需品。代币如何公平透明地发行和分发成为赢得人们信任和激励他们参与的关键标准。</w:t>
      </w:r>
    </w:p>
    <w:p>
      <w:r>
        <w:t>这对于社区参与至关重要的 memecoins 尤其重要。 Pump.fun等代币发行平台的成功不仅在于其降低了代币发行门槛，也在于其响应了市场对早期代币投资公平性和透明度的需求。</w:t>
      </w:r>
    </w:p>
    <w:p/>
    <w:p>
      <w:r>
        <w:drawing>
          <wp:inline xmlns:a="http://schemas.openxmlformats.org/drawingml/2006/main" xmlns:pic="http://schemas.openxmlformats.org/drawingml/2006/picture">
            <wp:extent cx="4572000" cy="4975412"/>
            <wp:docPr id="7" name="Picture 7"/>
            <wp:cNvGraphicFramePr>
              <a:graphicFrameLocks noChangeAspect="1"/>
            </wp:cNvGraphicFramePr>
            <a:graphic>
              <a:graphicData uri="http://schemas.openxmlformats.org/drawingml/2006/picture">
                <pic:pic>
                  <pic:nvPicPr>
                    <pic:cNvPr id="0" name="image.jpg"/>
                    <pic:cNvPicPr/>
                  </pic:nvPicPr>
                  <pic:blipFill>
                    <a:blip r:embed="rId15"/>
                    <a:stretch>
                      <a:fillRect/>
                    </a:stretch>
                  </pic:blipFill>
                  <pic:spPr>
                    <a:xfrm>
                      <a:off x="0" y="0"/>
                      <a:ext cx="4572000" cy="4975412"/>
                    </a:xfrm>
                    <a:prstGeom prst="rect"/>
                  </pic:spPr>
                </pic:pic>
              </a:graphicData>
            </a:graphic>
          </wp:inline>
        </w:drawing>
      </w:r>
    </w:p>
    <w:p>
      <w:r>
        <w:t>来源： X(@MustStopMurad)</w:t>
      </w:r>
    </w:p>
    <w:p>
      <w:r>
        <w:t>公平性和有机增长的需求可以通过代币社区健康状况的量化指标来衡量。</w:t>
      </w:r>
      <w:r>
        <w:t>Murad 强调 memecoin 的社区方面，他强调了中位持有者排名和 HHI（赫芬达尔-赫希曼指数）等指标来评估代币的公平分配和持有者的忠诚度。HHI 最初旨在衡量市场垄断程度，用于确定代币持有者之间的集中程度。</w:t>
      </w:r>
    </w:p>
    <w:p>
      <w:pPr>
        <w:pStyle w:val="Heading2"/>
      </w:pPr>
      <w:r>
        <w:t>总结</w:t>
      </w:r>
    </w:p>
    <w:p>
      <w:r>
        <w:t>那些仍然对 Web3 和加密货币持怀疑态度的人可能会将区块链和代币视为赌博和投机的载体。然而，在这层表象之下，隐藏着一种旨在建立去中心化、更好的金融系统和新的互联网结构的意识形态。无论出于何种善意，投机需求无疑已成为该行业诞生和发展的强大催化剂。经过无数次的反复试验，我们已经到了这样一个阶段：</w:t>
      </w:r>
      <w:r>
        <w:t>预测市场可以取代传统媒体，稳定币作为下一代支付网络受到关注，区块链应用程序也变得人人可用。</w:t>
      </w:r>
    </w:p>
    <w:p>
      <w:r>
        <w:t>Memecoins 在其看似毫无价值和不健全的赌博和投机外表之下也具有更深层的含义——它们代表着代币、社区和文化的融合。Memecoins 体现了加密生态系统去中心化和公平理想的最纯粹形式。</w:t>
      </w:r>
      <w:r>
        <w:t>它们表明，仅通过社区参与和透明运营就可以创造可持续价值，而无需复杂的技术或金融产品。这表明，</w:t>
      </w:r>
      <w:r>
        <w:t>除了单纯的投机狂热之外，还有更多可能性，区块链技术可以实现新的社交网络和服务形式。</w:t>
      </w:r>
    </w:p>
    <w:p>
      <w:r>
        <w:t>更多的 memecoin 将继续出现和消亡。通过这些创新和失败的循环，我们逐渐发现数字社区蓬勃发展的原因，以及代币经济如何更好地与人类行为和社会动态保持一致。尽管这种持续的演变具有波动性，但它正稳步引导我们走向数字时代更复杂、更可持续的社区驱动价值创造模式。</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image" Target="media/image2.jpg"/><Relationship Id="rId11" Type="http://schemas.openxmlformats.org/officeDocument/2006/relationships/image" Target="media/image3.jpg"/><Relationship Id="rId12" Type="http://schemas.openxmlformats.org/officeDocument/2006/relationships/image" Target="media/image4.jpg"/><Relationship Id="rId13" Type="http://schemas.openxmlformats.org/officeDocument/2006/relationships/image" Target="media/image5.jpg"/><Relationship Id="rId14" Type="http://schemas.openxmlformats.org/officeDocument/2006/relationships/image" Target="media/image6.jpg"/><Relationship Id="rId15"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